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3BDC" w14:textId="4247EB42" w:rsidR="00ED7A10" w:rsidRPr="00A66A9B" w:rsidRDefault="000361A9" w:rsidP="00ED7A10">
      <w:pPr>
        <w:tabs>
          <w:tab w:val="center" w:pos="4536"/>
          <w:tab w:val="right" w:pos="9072"/>
        </w:tabs>
        <w:rPr>
          <w:rFonts w:ascii="Times New Roman" w:eastAsia="Times New Roman" w:hAnsi="Times New Roman"/>
          <w:sz w:val="24"/>
          <w:szCs w:val="20"/>
          <w:lang w:eastAsia="de-DE"/>
        </w:rPr>
      </w:pPr>
      <w:r>
        <w:rPr>
          <w:rFonts w:ascii="Times New Roman" w:eastAsia="Times New Roman" w:hAnsi="Times New Roman"/>
          <w:sz w:val="24"/>
          <w:szCs w:val="20"/>
          <w:lang w:eastAsia="de-DE"/>
        </w:rPr>
        <w:t>42-17</w:t>
      </w:r>
      <w:r w:rsidR="000C76C0">
        <w:rPr>
          <w:rFonts w:ascii="Times New Roman" w:eastAsia="Times New Roman" w:hAnsi="Times New Roman"/>
          <w:sz w:val="24"/>
          <w:szCs w:val="20"/>
          <w:lang w:eastAsia="de-DE"/>
        </w:rPr>
        <w:t>11-01-</w:t>
      </w:r>
      <w:r>
        <w:rPr>
          <w:rFonts w:ascii="Times New Roman" w:eastAsia="Times New Roman" w:hAnsi="Times New Roman"/>
          <w:sz w:val="24"/>
          <w:szCs w:val="20"/>
          <w:lang w:eastAsia="de-DE"/>
        </w:rPr>
        <w:t>16.</w:t>
      </w:r>
      <w:r w:rsidR="000C76C0">
        <w:rPr>
          <w:rFonts w:ascii="Times New Roman" w:eastAsia="Times New Roman" w:hAnsi="Times New Roman"/>
          <w:sz w:val="24"/>
          <w:szCs w:val="20"/>
          <w:lang w:eastAsia="de-DE"/>
        </w:rPr>
        <w:t>7</w:t>
      </w:r>
      <w:r>
        <w:rPr>
          <w:rFonts w:ascii="Times New Roman" w:eastAsia="Times New Roman" w:hAnsi="Times New Roman"/>
          <w:sz w:val="24"/>
          <w:szCs w:val="20"/>
          <w:lang w:eastAsia="de-DE"/>
        </w:rPr>
        <w:t>0</w:t>
      </w:r>
    </w:p>
    <w:p w14:paraId="13CD2929" w14:textId="77777777" w:rsidR="00ED7A10" w:rsidRPr="00A66A9B" w:rsidRDefault="00ED7A10" w:rsidP="00ED7A10">
      <w:pPr>
        <w:tabs>
          <w:tab w:val="center" w:pos="4536"/>
          <w:tab w:val="right" w:pos="9072"/>
        </w:tabs>
        <w:rPr>
          <w:rFonts w:ascii="Times New Roman" w:eastAsia="Times New Roman" w:hAnsi="Times New Roman"/>
          <w:sz w:val="24"/>
          <w:szCs w:val="20"/>
          <w:lang w:eastAsia="de-DE"/>
        </w:rPr>
      </w:pPr>
    </w:p>
    <w:p w14:paraId="40B0D340" w14:textId="77777777" w:rsidR="00ED7A10" w:rsidRPr="00A66A9B" w:rsidRDefault="00ED7A10" w:rsidP="00ED7A10">
      <w:pPr>
        <w:tabs>
          <w:tab w:val="center" w:pos="4536"/>
          <w:tab w:val="right" w:pos="9072"/>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Immissionsschutz;</w:t>
      </w:r>
    </w:p>
    <w:p w14:paraId="5AA5116B" w14:textId="77777777" w:rsidR="00ED7A10" w:rsidRDefault="000361A9" w:rsidP="00ED7A10">
      <w:pPr>
        <w:tabs>
          <w:tab w:val="center" w:pos="4536"/>
          <w:tab w:val="right" w:pos="9072"/>
        </w:tabs>
        <w:rPr>
          <w:rFonts w:ascii="Times New Roman" w:eastAsia="Times New Roman" w:hAnsi="Times New Roman"/>
          <w:b/>
          <w:sz w:val="24"/>
          <w:szCs w:val="20"/>
          <w:lang w:eastAsia="de-DE"/>
        </w:rPr>
      </w:pPr>
      <w:r>
        <w:rPr>
          <w:rFonts w:ascii="Times New Roman" w:eastAsia="Times New Roman" w:hAnsi="Times New Roman"/>
          <w:b/>
          <w:sz w:val="24"/>
          <w:szCs w:val="20"/>
          <w:lang w:eastAsia="de-DE"/>
        </w:rPr>
        <w:t>BMW Group Dingolfing, Werk 02.1</w:t>
      </w:r>
      <w:r w:rsidR="00ED7A10">
        <w:rPr>
          <w:rFonts w:ascii="Times New Roman" w:eastAsia="Times New Roman" w:hAnsi="Times New Roman"/>
          <w:b/>
          <w:sz w:val="24"/>
          <w:szCs w:val="20"/>
          <w:lang w:eastAsia="de-DE"/>
        </w:rPr>
        <w:t>0</w:t>
      </w:r>
    </w:p>
    <w:p w14:paraId="099A278A" w14:textId="587FF965" w:rsidR="00ED7A10" w:rsidRDefault="00ED7A10" w:rsidP="00ED7A10">
      <w:pPr>
        <w:tabs>
          <w:tab w:val="center" w:pos="4536"/>
          <w:tab w:val="right" w:pos="9072"/>
        </w:tabs>
        <w:rPr>
          <w:rFonts w:ascii="Times New Roman" w:eastAsia="Times New Roman" w:hAnsi="Times New Roman"/>
          <w:b/>
          <w:sz w:val="24"/>
          <w:szCs w:val="20"/>
          <w:lang w:eastAsia="de-DE"/>
        </w:rPr>
      </w:pPr>
      <w:r>
        <w:rPr>
          <w:rFonts w:ascii="Times New Roman" w:eastAsia="Times New Roman" w:hAnsi="Times New Roman"/>
          <w:b/>
          <w:sz w:val="24"/>
          <w:szCs w:val="20"/>
          <w:lang w:eastAsia="de-DE"/>
        </w:rPr>
        <w:t>Wesentliche Änder</w:t>
      </w:r>
      <w:r w:rsidR="00F06F60">
        <w:rPr>
          <w:rFonts w:ascii="Times New Roman" w:eastAsia="Times New Roman" w:hAnsi="Times New Roman"/>
          <w:b/>
          <w:sz w:val="24"/>
          <w:szCs w:val="20"/>
          <w:lang w:eastAsia="de-DE"/>
        </w:rPr>
        <w:t xml:space="preserve">ung der Lageranlage für Methanol in der Härterei, Gebäude 61.1 </w:t>
      </w:r>
      <w:r w:rsidR="00D315C1">
        <w:rPr>
          <w:rFonts w:ascii="Times New Roman" w:eastAsia="Times New Roman" w:hAnsi="Times New Roman"/>
          <w:b/>
          <w:sz w:val="24"/>
          <w:szCs w:val="20"/>
          <w:lang w:eastAsia="de-DE"/>
        </w:rPr>
        <w:t>– Neuerrichtung u</w:t>
      </w:r>
      <w:r w:rsidR="00F06F60">
        <w:rPr>
          <w:rFonts w:ascii="Times New Roman" w:eastAsia="Times New Roman" w:hAnsi="Times New Roman"/>
          <w:b/>
          <w:sz w:val="24"/>
          <w:szCs w:val="20"/>
          <w:lang w:eastAsia="de-DE"/>
        </w:rPr>
        <w:t xml:space="preserve">nd Betrieb eines neuen </w:t>
      </w:r>
      <w:r w:rsidR="000C76C0">
        <w:rPr>
          <w:rFonts w:ascii="Times New Roman" w:eastAsia="Times New Roman" w:hAnsi="Times New Roman"/>
          <w:b/>
          <w:sz w:val="24"/>
          <w:szCs w:val="20"/>
          <w:lang w:eastAsia="de-DE"/>
        </w:rPr>
        <w:t>Härteofens</w:t>
      </w:r>
    </w:p>
    <w:p w14:paraId="79EBA1A9" w14:textId="77777777" w:rsidR="00ED7A10" w:rsidRPr="00A66A9B" w:rsidRDefault="00ED7A10" w:rsidP="00ED7A10">
      <w:pPr>
        <w:tabs>
          <w:tab w:val="center" w:pos="4536"/>
          <w:tab w:val="right" w:pos="9072"/>
        </w:tabs>
        <w:rPr>
          <w:rFonts w:ascii="Times New Roman" w:eastAsia="Times New Roman" w:hAnsi="Times New Roman"/>
          <w:b/>
          <w:sz w:val="24"/>
          <w:szCs w:val="20"/>
          <w:lang w:eastAsia="de-DE"/>
        </w:rPr>
      </w:pPr>
    </w:p>
    <w:p w14:paraId="5FA5CA00" w14:textId="77777777" w:rsidR="00ED7A10" w:rsidRPr="00A66A9B" w:rsidRDefault="00ED7A10" w:rsidP="00ED7A10">
      <w:pPr>
        <w:tabs>
          <w:tab w:val="center" w:pos="4536"/>
          <w:tab w:val="right" w:pos="9072"/>
        </w:tabs>
        <w:rPr>
          <w:rFonts w:ascii="Times New Roman" w:eastAsia="Times New Roman" w:hAnsi="Times New Roman"/>
          <w:b/>
          <w:sz w:val="24"/>
          <w:szCs w:val="20"/>
          <w:lang w:eastAsia="de-DE"/>
        </w:rPr>
      </w:pPr>
    </w:p>
    <w:p w14:paraId="76435AB5" w14:textId="77777777" w:rsidR="00ED7A10" w:rsidRPr="00A66A9B" w:rsidRDefault="00ED7A10" w:rsidP="00ED7A10">
      <w:pPr>
        <w:tabs>
          <w:tab w:val="center" w:pos="4536"/>
          <w:tab w:val="right" w:pos="9072"/>
        </w:tabs>
        <w:jc w:val="center"/>
        <w:rPr>
          <w:rFonts w:ascii="Times New Roman" w:eastAsia="Times New Roman" w:hAnsi="Times New Roman"/>
          <w:b/>
          <w:sz w:val="24"/>
          <w:szCs w:val="20"/>
          <w:lang w:eastAsia="de-DE"/>
        </w:rPr>
      </w:pPr>
      <w:r w:rsidRPr="00A66A9B">
        <w:rPr>
          <w:rFonts w:ascii="Times New Roman" w:eastAsia="Times New Roman" w:hAnsi="Times New Roman"/>
          <w:b/>
          <w:sz w:val="24"/>
          <w:szCs w:val="20"/>
          <w:lang w:eastAsia="de-DE"/>
        </w:rPr>
        <w:t>AKTENVERMERK</w:t>
      </w:r>
    </w:p>
    <w:p w14:paraId="10FBC380" w14:textId="5DB81033" w:rsidR="00ED7A10" w:rsidRPr="00A66A9B" w:rsidRDefault="00ED7A10" w:rsidP="00ED7A10">
      <w:pPr>
        <w:tabs>
          <w:tab w:val="center" w:pos="4536"/>
          <w:tab w:val="right" w:pos="9072"/>
        </w:tabs>
        <w:jc w:val="center"/>
        <w:rPr>
          <w:rFonts w:ascii="Times New Roman" w:eastAsia="Times New Roman" w:hAnsi="Times New Roman"/>
          <w:b/>
          <w:sz w:val="24"/>
          <w:szCs w:val="20"/>
          <w:lang w:eastAsia="de-DE"/>
        </w:rPr>
      </w:pPr>
      <w:r w:rsidRPr="00A66A9B">
        <w:rPr>
          <w:rFonts w:ascii="Times New Roman" w:eastAsia="Times New Roman" w:hAnsi="Times New Roman"/>
          <w:b/>
          <w:sz w:val="24"/>
          <w:szCs w:val="20"/>
          <w:lang w:eastAsia="de-DE"/>
        </w:rPr>
        <w:t xml:space="preserve">zur </w:t>
      </w:r>
      <w:r w:rsidR="0059657D">
        <w:rPr>
          <w:rFonts w:ascii="Times New Roman" w:eastAsia="Times New Roman" w:hAnsi="Times New Roman"/>
          <w:b/>
          <w:sz w:val="24"/>
          <w:szCs w:val="20"/>
          <w:lang w:eastAsia="de-DE"/>
        </w:rPr>
        <w:t>standortbezogenen</w:t>
      </w:r>
      <w:r w:rsidRPr="00A66A9B">
        <w:rPr>
          <w:rFonts w:ascii="Times New Roman" w:eastAsia="Times New Roman" w:hAnsi="Times New Roman"/>
          <w:b/>
          <w:sz w:val="24"/>
          <w:szCs w:val="20"/>
          <w:lang w:eastAsia="de-DE"/>
        </w:rPr>
        <w:t xml:space="preserve"> Vorprüfung des Einzelfalles nach dem UVPG</w:t>
      </w:r>
    </w:p>
    <w:p w14:paraId="2587AECA" w14:textId="77777777" w:rsidR="00ED7A10" w:rsidRPr="00A66A9B" w:rsidRDefault="00ED7A10" w:rsidP="00ED7A10">
      <w:pPr>
        <w:tabs>
          <w:tab w:val="center" w:pos="4536"/>
          <w:tab w:val="right" w:pos="9072"/>
        </w:tabs>
        <w:rPr>
          <w:rFonts w:ascii="Times New Roman" w:eastAsia="Times New Roman" w:hAnsi="Times New Roman"/>
          <w:b/>
          <w:sz w:val="24"/>
          <w:szCs w:val="20"/>
          <w:lang w:eastAsia="de-DE"/>
        </w:rPr>
      </w:pPr>
    </w:p>
    <w:p w14:paraId="61493214"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r w:rsidRPr="00A66A9B">
        <w:rPr>
          <w:rFonts w:ascii="Times New Roman" w:eastAsia="Times New Roman" w:hAnsi="Times New Roman"/>
          <w:sz w:val="24"/>
          <w:szCs w:val="20"/>
          <w:lang w:eastAsia="de-DE"/>
        </w:rPr>
        <w:t>Wird ein Vorhaben geändert, für das bisher keine Umweltverträglichkeitsprüfung durchgeführt worden ist, so besteht für das Änderungsvorhaben die UVP-Pflicht, wenn das geänderte Vorhaben einen in Anlage 1 angegebenen Prüfwert für die Vorprüfung erstmals oder erneut erreicht oder überschreitet und eine Vorprüfung ergibt, dass die Änderung erhebliche nachteilige Auswirkungen auf die Umwelt hervorrufen kann</w:t>
      </w:r>
      <w:r w:rsidRPr="00A66A9B">
        <w:rPr>
          <w:rFonts w:ascii="Times New Roman" w:eastAsia="Times New Roman" w:hAnsi="Times New Roman"/>
          <w:sz w:val="24"/>
          <w:szCs w:val="24"/>
          <w:lang w:eastAsia="de-DE"/>
        </w:rPr>
        <w:t xml:space="preserve"> (§ 9 Abs. 2 Nr. 2 des Gesetzes über die Umweltverträglichkeitsprüfung (UVPG)).</w:t>
      </w:r>
    </w:p>
    <w:p w14:paraId="50131A08"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p>
    <w:p w14:paraId="07DA8CE9" w14:textId="77777777" w:rsidR="00ED7A10" w:rsidRPr="00A66A9B" w:rsidRDefault="0055000A" w:rsidP="00ED7A10">
      <w:pPr>
        <w:tabs>
          <w:tab w:val="center" w:pos="4536"/>
          <w:tab w:val="right" w:pos="9072"/>
        </w:tabs>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Nach Ziffer 9.3.3 </w:t>
      </w:r>
      <w:r w:rsidR="00ED7A10" w:rsidRPr="00A66A9B">
        <w:rPr>
          <w:rFonts w:ascii="Times New Roman" w:eastAsia="Times New Roman" w:hAnsi="Times New Roman"/>
          <w:sz w:val="24"/>
          <w:szCs w:val="24"/>
          <w:lang w:eastAsia="de-DE"/>
        </w:rPr>
        <w:t xml:space="preserve">des Anhangs </w:t>
      </w:r>
      <w:r>
        <w:rPr>
          <w:rFonts w:ascii="Times New Roman" w:eastAsia="Times New Roman" w:hAnsi="Times New Roman"/>
          <w:sz w:val="24"/>
          <w:szCs w:val="24"/>
          <w:lang w:eastAsia="de-DE"/>
        </w:rPr>
        <w:t xml:space="preserve">1 </w:t>
      </w:r>
      <w:r w:rsidR="00ED7A10" w:rsidRPr="00A66A9B">
        <w:rPr>
          <w:rFonts w:ascii="Times New Roman" w:eastAsia="Times New Roman" w:hAnsi="Times New Roman"/>
          <w:sz w:val="24"/>
          <w:szCs w:val="24"/>
          <w:lang w:eastAsia="de-DE"/>
        </w:rPr>
        <w:t xml:space="preserve">zum UVPG </w:t>
      </w:r>
      <w:r>
        <w:rPr>
          <w:rFonts w:ascii="Times New Roman" w:eastAsia="Times New Roman" w:hAnsi="Times New Roman"/>
          <w:sz w:val="24"/>
          <w:szCs w:val="24"/>
          <w:lang w:eastAsia="de-DE"/>
        </w:rPr>
        <w:t xml:space="preserve">ist die Anlage zur Lagerung von Methanol </w:t>
      </w:r>
      <w:r w:rsidR="00ED7A10" w:rsidRPr="00A66A9B">
        <w:rPr>
          <w:rFonts w:ascii="Times New Roman" w:eastAsia="Times New Roman" w:hAnsi="Times New Roman"/>
          <w:sz w:val="24"/>
          <w:szCs w:val="24"/>
          <w:lang w:eastAsia="de-DE"/>
        </w:rPr>
        <w:t>mit d</w:t>
      </w:r>
      <w:r>
        <w:rPr>
          <w:rFonts w:ascii="Times New Roman" w:eastAsia="Times New Roman" w:hAnsi="Times New Roman"/>
          <w:sz w:val="24"/>
          <w:szCs w:val="24"/>
          <w:lang w:eastAsia="de-DE"/>
        </w:rPr>
        <w:t>er Pflicht zu einer standortbezogenen Vorprüfung des Einzelfalles („S</w:t>
      </w:r>
      <w:r w:rsidR="00ED7A10" w:rsidRPr="00A66A9B">
        <w:rPr>
          <w:rFonts w:ascii="Times New Roman" w:eastAsia="Times New Roman" w:hAnsi="Times New Roman"/>
          <w:sz w:val="24"/>
          <w:szCs w:val="24"/>
          <w:lang w:eastAsia="de-DE"/>
        </w:rPr>
        <w:t>“) genannt.</w:t>
      </w:r>
    </w:p>
    <w:p w14:paraId="665C7E9D"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p>
    <w:p w14:paraId="0572412E" w14:textId="77777777" w:rsidR="00ED7A10" w:rsidRPr="00A66A9B" w:rsidRDefault="0055000A" w:rsidP="00ED7A10">
      <w:pPr>
        <w:tabs>
          <w:tab w:val="center" w:pos="4536"/>
          <w:tab w:val="right" w:pos="9072"/>
        </w:tabs>
        <w:rPr>
          <w:rFonts w:ascii="Times New Roman" w:eastAsia="Times New Roman" w:hAnsi="Times New Roman"/>
          <w:b/>
          <w:sz w:val="24"/>
          <w:szCs w:val="24"/>
          <w:lang w:eastAsia="de-DE"/>
        </w:rPr>
      </w:pPr>
      <w:r>
        <w:rPr>
          <w:rFonts w:ascii="Times New Roman" w:eastAsia="Times New Roman" w:hAnsi="Times New Roman"/>
          <w:b/>
          <w:sz w:val="24"/>
          <w:szCs w:val="24"/>
          <w:lang w:eastAsia="de-DE"/>
        </w:rPr>
        <w:t xml:space="preserve">Die </w:t>
      </w:r>
      <w:r w:rsidR="00ED7A10" w:rsidRPr="00A66A9B">
        <w:rPr>
          <w:rFonts w:ascii="Times New Roman" w:eastAsia="Times New Roman" w:hAnsi="Times New Roman"/>
          <w:b/>
          <w:sz w:val="24"/>
          <w:szCs w:val="24"/>
          <w:lang w:eastAsia="de-DE"/>
        </w:rPr>
        <w:t xml:space="preserve">Vorprüfung </w:t>
      </w:r>
      <w:r>
        <w:rPr>
          <w:rFonts w:ascii="Times New Roman" w:eastAsia="Times New Roman" w:hAnsi="Times New Roman"/>
          <w:b/>
          <w:sz w:val="24"/>
          <w:szCs w:val="24"/>
          <w:lang w:eastAsia="de-DE"/>
        </w:rPr>
        <w:t xml:space="preserve">wurde </w:t>
      </w:r>
      <w:r w:rsidR="00ED7A10" w:rsidRPr="00A66A9B">
        <w:rPr>
          <w:rFonts w:ascii="Times New Roman" w:eastAsia="Times New Roman" w:hAnsi="Times New Roman"/>
          <w:b/>
          <w:sz w:val="24"/>
          <w:szCs w:val="24"/>
          <w:lang w:eastAsia="de-DE"/>
        </w:rPr>
        <w:t>durchgeführt.</w:t>
      </w:r>
    </w:p>
    <w:p w14:paraId="0B3B23A8"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p>
    <w:p w14:paraId="76D3A25E"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r w:rsidRPr="00A66A9B">
        <w:rPr>
          <w:rFonts w:ascii="Times New Roman" w:eastAsia="Times New Roman" w:hAnsi="Times New Roman"/>
          <w:sz w:val="24"/>
          <w:szCs w:val="24"/>
          <w:lang w:eastAsia="de-DE"/>
        </w:rPr>
        <w:t>In den Antragsunterlagen wurden durch die BMW AG die erforderlichen Unterlagen zur Durchführung der Vorprüfung vorgelegt.</w:t>
      </w:r>
    </w:p>
    <w:p w14:paraId="3008F526"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r w:rsidRPr="00A66A9B">
        <w:rPr>
          <w:rFonts w:ascii="Times New Roman" w:eastAsia="Times New Roman" w:hAnsi="Times New Roman"/>
          <w:sz w:val="24"/>
          <w:szCs w:val="24"/>
          <w:lang w:eastAsia="de-DE"/>
        </w:rPr>
        <w:t>Die Maßnahme wurde nicht nur auf die standortbezogenen Kriterien geprüft (Anlage 3 Ziffer 2 UVPG), sondern auch auf die Art und die Merkmale der möglichen Auswirkungen.</w:t>
      </w:r>
    </w:p>
    <w:p w14:paraId="62B1762A" w14:textId="77777777" w:rsidR="00ED7A10" w:rsidRPr="00A66A9B" w:rsidRDefault="00ED7A10" w:rsidP="00ED7A10">
      <w:pPr>
        <w:tabs>
          <w:tab w:val="center" w:pos="4536"/>
          <w:tab w:val="right" w:pos="9072"/>
        </w:tabs>
        <w:rPr>
          <w:rFonts w:ascii="Times New Roman" w:eastAsia="Times New Roman" w:hAnsi="Times New Roman"/>
          <w:sz w:val="24"/>
          <w:szCs w:val="24"/>
          <w:lang w:eastAsia="de-DE"/>
        </w:rPr>
      </w:pPr>
    </w:p>
    <w:p w14:paraId="4D0F0E69" w14:textId="77777777" w:rsidR="0055000A" w:rsidRPr="0055000A" w:rsidRDefault="00ED7A10" w:rsidP="0055000A">
      <w:pPr>
        <w:tabs>
          <w:tab w:val="left" w:pos="426"/>
          <w:tab w:val="left" w:pos="851"/>
        </w:tabs>
        <w:rPr>
          <w:rFonts w:ascii="Times New Roman" w:hAnsi="Times New Roman"/>
          <w:sz w:val="24"/>
          <w:szCs w:val="24"/>
        </w:rPr>
      </w:pPr>
      <w:r w:rsidRPr="00A66A9B">
        <w:rPr>
          <w:rFonts w:ascii="Times New Roman" w:eastAsia="Times New Roman" w:hAnsi="Times New Roman"/>
          <w:sz w:val="24"/>
          <w:szCs w:val="20"/>
          <w:lang w:eastAsia="de-DE"/>
        </w:rPr>
        <w:t>Im Werk 02.</w:t>
      </w:r>
      <w:r w:rsidR="0055000A">
        <w:rPr>
          <w:rFonts w:ascii="Times New Roman" w:eastAsia="Times New Roman" w:hAnsi="Times New Roman"/>
          <w:sz w:val="24"/>
          <w:szCs w:val="20"/>
          <w:lang w:eastAsia="de-DE"/>
        </w:rPr>
        <w:t>10 ist der Fertigungsschritt der Härterei untergebracht</w:t>
      </w:r>
      <w:r w:rsidRPr="00A66A9B">
        <w:rPr>
          <w:rFonts w:ascii="Times New Roman" w:eastAsia="Times New Roman" w:hAnsi="Times New Roman"/>
          <w:sz w:val="24"/>
          <w:szCs w:val="20"/>
          <w:lang w:eastAsia="de-DE"/>
        </w:rPr>
        <w:t xml:space="preserve">. </w:t>
      </w:r>
      <w:r>
        <w:rPr>
          <w:rFonts w:ascii="Times New Roman" w:eastAsia="Times New Roman" w:hAnsi="Times New Roman"/>
          <w:sz w:val="24"/>
          <w:szCs w:val="20"/>
          <w:lang w:eastAsia="de-DE"/>
        </w:rPr>
        <w:t>Wesentlicher Anlagenteil is</w:t>
      </w:r>
      <w:r w:rsidR="0055000A">
        <w:rPr>
          <w:rFonts w:ascii="Times New Roman" w:eastAsia="Times New Roman" w:hAnsi="Times New Roman"/>
          <w:sz w:val="24"/>
          <w:szCs w:val="20"/>
          <w:lang w:eastAsia="de-DE"/>
        </w:rPr>
        <w:t xml:space="preserve">t hierbei die Lageranlage für Methanol als genehmigungspflichtige Anlage nach Ziffer </w:t>
      </w:r>
      <w:r w:rsidR="0055000A" w:rsidRPr="0055000A">
        <w:rPr>
          <w:rFonts w:ascii="Times New Roman" w:hAnsi="Times New Roman"/>
          <w:sz w:val="24"/>
          <w:szCs w:val="24"/>
        </w:rPr>
        <w:t>9.3.2 des Anhang 1 i.V. m. Nr. 30/Spalte 3 im Anhang 2 zur 4. BImSchV).</w:t>
      </w:r>
    </w:p>
    <w:p w14:paraId="55A8B43A" w14:textId="77777777" w:rsidR="00ED7A10" w:rsidRDefault="00ED7A10" w:rsidP="00ED7A10">
      <w:pPr>
        <w:tabs>
          <w:tab w:val="left" w:pos="426"/>
          <w:tab w:val="left" w:pos="851"/>
        </w:tabs>
        <w:rPr>
          <w:rFonts w:ascii="Times New Roman" w:eastAsia="Times New Roman" w:hAnsi="Times New Roman"/>
          <w:sz w:val="24"/>
          <w:szCs w:val="20"/>
          <w:lang w:eastAsia="de-DE"/>
        </w:rPr>
      </w:pPr>
    </w:p>
    <w:p w14:paraId="4416E5FE" w14:textId="77777777" w:rsidR="00D315C1" w:rsidRDefault="00D315C1"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Als Nebeneinrichtung zu</w:t>
      </w:r>
      <w:r w:rsidR="0055000A">
        <w:rPr>
          <w:rFonts w:ascii="Times New Roman" w:eastAsia="Times New Roman" w:hAnsi="Times New Roman"/>
          <w:sz w:val="24"/>
          <w:szCs w:val="20"/>
          <w:lang w:eastAsia="de-DE"/>
        </w:rPr>
        <w:t>r Hauptanlage werden Härteöfen bzw. Ringherdöfen betrieben.</w:t>
      </w:r>
    </w:p>
    <w:p w14:paraId="3D8221B5" w14:textId="356E80C0" w:rsidR="00D315C1" w:rsidRDefault="0055000A"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 xml:space="preserve">Nun soll ein neuer </w:t>
      </w:r>
      <w:r w:rsidR="000C76C0">
        <w:rPr>
          <w:rFonts w:ascii="Times New Roman" w:eastAsia="Times New Roman" w:hAnsi="Times New Roman"/>
          <w:sz w:val="24"/>
          <w:szCs w:val="20"/>
          <w:lang w:eastAsia="de-DE"/>
        </w:rPr>
        <w:t>Härteofen</w:t>
      </w:r>
      <w:r>
        <w:rPr>
          <w:rFonts w:ascii="Times New Roman" w:eastAsia="Times New Roman" w:hAnsi="Times New Roman"/>
          <w:sz w:val="24"/>
          <w:szCs w:val="20"/>
          <w:lang w:eastAsia="de-DE"/>
        </w:rPr>
        <w:t xml:space="preserve"> </w:t>
      </w:r>
      <w:r w:rsidR="000C76C0">
        <w:rPr>
          <w:rFonts w:ascii="Times New Roman" w:eastAsia="Times New Roman" w:hAnsi="Times New Roman"/>
          <w:sz w:val="24"/>
          <w:szCs w:val="20"/>
          <w:lang w:eastAsia="de-DE"/>
        </w:rPr>
        <w:t xml:space="preserve">(Durchstoßofen, Anlassofen) </w:t>
      </w:r>
      <w:r>
        <w:rPr>
          <w:rFonts w:ascii="Times New Roman" w:eastAsia="Times New Roman" w:hAnsi="Times New Roman"/>
          <w:sz w:val="24"/>
          <w:szCs w:val="20"/>
          <w:lang w:eastAsia="de-DE"/>
        </w:rPr>
        <w:t xml:space="preserve">mit den entsprechenden zusätzlichen technischen Einrichtungen </w:t>
      </w:r>
      <w:r w:rsidR="00D315C1">
        <w:rPr>
          <w:rFonts w:ascii="Times New Roman" w:eastAsia="Times New Roman" w:hAnsi="Times New Roman"/>
          <w:sz w:val="24"/>
          <w:szCs w:val="20"/>
          <w:lang w:eastAsia="de-DE"/>
        </w:rPr>
        <w:t xml:space="preserve">in das </w:t>
      </w:r>
      <w:r>
        <w:rPr>
          <w:rFonts w:ascii="Times New Roman" w:eastAsia="Times New Roman" w:hAnsi="Times New Roman"/>
          <w:sz w:val="24"/>
          <w:szCs w:val="20"/>
          <w:lang w:eastAsia="de-DE"/>
        </w:rPr>
        <w:t>bestehende</w:t>
      </w:r>
      <w:r w:rsidR="005F4D98">
        <w:rPr>
          <w:rFonts w:ascii="Times New Roman" w:eastAsia="Times New Roman" w:hAnsi="Times New Roman"/>
          <w:sz w:val="24"/>
          <w:szCs w:val="20"/>
          <w:lang w:eastAsia="de-DE"/>
        </w:rPr>
        <w:t xml:space="preserve"> Gebäude 61.1 integriert werden.</w:t>
      </w:r>
    </w:p>
    <w:p w14:paraId="4453EDD4" w14:textId="77777777" w:rsidR="00ED7A10" w:rsidRDefault="00ED7A10" w:rsidP="00ED7A10">
      <w:pPr>
        <w:tabs>
          <w:tab w:val="left" w:pos="426"/>
          <w:tab w:val="left" w:pos="851"/>
        </w:tabs>
        <w:rPr>
          <w:rFonts w:ascii="Times New Roman" w:eastAsia="Times New Roman" w:hAnsi="Times New Roman"/>
          <w:sz w:val="24"/>
          <w:szCs w:val="20"/>
          <w:lang w:eastAsia="de-DE"/>
        </w:rPr>
      </w:pPr>
    </w:p>
    <w:p w14:paraId="62D7A605" w14:textId="192CFD68" w:rsidR="00ED7A10" w:rsidRDefault="00D315C1"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 xml:space="preserve">Die Anlagentechnik für die </w:t>
      </w:r>
      <w:r w:rsidR="000C76C0">
        <w:rPr>
          <w:rFonts w:ascii="Times New Roman" w:eastAsia="Times New Roman" w:hAnsi="Times New Roman"/>
          <w:sz w:val="24"/>
          <w:szCs w:val="20"/>
          <w:lang w:eastAsia="de-DE"/>
        </w:rPr>
        <w:t>Härterei</w:t>
      </w:r>
      <w:r>
        <w:rPr>
          <w:rFonts w:ascii="Times New Roman" w:eastAsia="Times New Roman" w:hAnsi="Times New Roman"/>
          <w:sz w:val="24"/>
          <w:szCs w:val="20"/>
          <w:lang w:eastAsia="de-DE"/>
        </w:rPr>
        <w:t xml:space="preserve"> w</w:t>
      </w:r>
      <w:r w:rsidR="005F4D98">
        <w:rPr>
          <w:rFonts w:ascii="Times New Roman" w:eastAsia="Times New Roman" w:hAnsi="Times New Roman"/>
          <w:sz w:val="24"/>
          <w:szCs w:val="20"/>
          <w:lang w:eastAsia="de-DE"/>
        </w:rPr>
        <w:t xml:space="preserve">ird im bestehenden Gebäude </w:t>
      </w:r>
      <w:r>
        <w:rPr>
          <w:rFonts w:ascii="Times New Roman" w:eastAsia="Times New Roman" w:hAnsi="Times New Roman"/>
          <w:sz w:val="24"/>
          <w:szCs w:val="20"/>
          <w:lang w:eastAsia="de-DE"/>
        </w:rPr>
        <w:t>nach dem neuesten Stand der Technik aufgebaut.</w:t>
      </w:r>
    </w:p>
    <w:p w14:paraId="0608FD04" w14:textId="77777777" w:rsidR="00D315C1" w:rsidRPr="00A66A9B" w:rsidRDefault="00D315C1" w:rsidP="00ED7A10">
      <w:pPr>
        <w:tabs>
          <w:tab w:val="left" w:pos="426"/>
          <w:tab w:val="left" w:pos="851"/>
        </w:tabs>
        <w:rPr>
          <w:rFonts w:ascii="Times New Roman" w:eastAsia="Times New Roman" w:hAnsi="Times New Roman"/>
          <w:sz w:val="24"/>
          <w:szCs w:val="20"/>
          <w:lang w:eastAsia="de-DE"/>
        </w:rPr>
      </w:pPr>
    </w:p>
    <w:p w14:paraId="21DF24D9" w14:textId="77777777" w:rsidR="00ED7A10" w:rsidRDefault="00ED7A10" w:rsidP="00ED7A10">
      <w:pPr>
        <w:tabs>
          <w:tab w:val="left" w:pos="426"/>
          <w:tab w:val="left" w:pos="851"/>
        </w:tabs>
        <w:rPr>
          <w:rFonts w:ascii="Times New Roman" w:eastAsia="Times New Roman" w:hAnsi="Times New Roman"/>
          <w:sz w:val="24"/>
          <w:szCs w:val="20"/>
          <w:lang w:eastAsia="de-DE"/>
        </w:rPr>
      </w:pPr>
      <w:r w:rsidRPr="00A72DD0">
        <w:rPr>
          <w:rFonts w:ascii="Times New Roman" w:eastAsia="Times New Roman" w:hAnsi="Times New Roman"/>
          <w:sz w:val="24"/>
          <w:szCs w:val="20"/>
          <w:u w:val="single"/>
          <w:lang w:eastAsia="de-DE"/>
        </w:rPr>
        <w:t>Folgende Maßnahmen sind vorgesehen</w:t>
      </w:r>
      <w:r w:rsidRPr="00A66A9B">
        <w:rPr>
          <w:rFonts w:ascii="Times New Roman" w:eastAsia="Times New Roman" w:hAnsi="Times New Roman"/>
          <w:sz w:val="24"/>
          <w:szCs w:val="20"/>
          <w:lang w:eastAsia="de-DE"/>
        </w:rPr>
        <w:t>:</w:t>
      </w:r>
    </w:p>
    <w:p w14:paraId="08955A9F" w14:textId="77777777" w:rsidR="005F4D98" w:rsidRDefault="005F4D98" w:rsidP="00ED7A10">
      <w:pPr>
        <w:tabs>
          <w:tab w:val="left" w:pos="426"/>
          <w:tab w:val="left" w:pos="851"/>
        </w:tabs>
        <w:rPr>
          <w:rFonts w:ascii="Times New Roman" w:eastAsia="Times New Roman" w:hAnsi="Times New Roman"/>
          <w:sz w:val="24"/>
          <w:szCs w:val="20"/>
          <w:lang w:eastAsia="de-DE"/>
        </w:rPr>
      </w:pPr>
    </w:p>
    <w:p w14:paraId="318ED98C"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Die vorbereitenden Maßnahmen zur Einrichtung der Baustelle,</w:t>
      </w:r>
    </w:p>
    <w:p w14:paraId="503CAECB"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die Umsetzung baulicher Maßnahmen zur Vorhaltung einer Ölbadabschreckung und einer Waschanlage,</w:t>
      </w:r>
    </w:p>
    <w:p w14:paraId="430A8C68"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die Erweiterung der Gebäudefassade an der Nordseite für die Errichtung und den Betrieb einer Kühlanlage,</w:t>
      </w:r>
    </w:p>
    <w:p w14:paraId="06B94E19"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die Errichtung des Stahlbaus,</w:t>
      </w:r>
    </w:p>
    <w:p w14:paraId="0DF5C02B"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die Anpassungen der Anlagentechnik für die technische Gebäudeausrüstung (z.B. Lüftungsanlagen,</w:t>
      </w:r>
    </w:p>
    <w:p w14:paraId="27D9F61B"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der Einbau und die Verstärkung von Stützen für einen Kran,</w:t>
      </w:r>
    </w:p>
    <w:p w14:paraId="6FC34465"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der Einbau einer Stahlbühne für Anlagen- und Schalttechnik,</w:t>
      </w:r>
    </w:p>
    <w:p w14:paraId="3123C7AF"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lastRenderedPageBreak/>
        <w:t>Errichtung einer Stahlbühne für Verdunstungskühlanlagen außerhalb des Gebäudes,</w:t>
      </w:r>
    </w:p>
    <w:p w14:paraId="44B05B1E"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den Aufbau und den Betrieb von Verdunstungskühlanlagen,</w:t>
      </w:r>
    </w:p>
    <w:p w14:paraId="3CA45FDF"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den Aufbau der Abluft- und Abgaskamine über Dach,</w:t>
      </w:r>
    </w:p>
    <w:p w14:paraId="08FEBCEA"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den Aufbau der Anlagen-, Versorgungsmedien- und Abgasreinigungstechnik für den Durchstoßofen, Anlassofen, die Hochdruck-Gasabschreckung mit Stickstoff und die Strahlanlage,</w:t>
      </w:r>
    </w:p>
    <w:p w14:paraId="2FA21AC0"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die Errichtung zweier Stickstofftanks inkl. Zugehöriger Peripherie zur Versorgung der Anlagentechnik sowie</w:t>
      </w:r>
    </w:p>
    <w:p w14:paraId="78E904FF" w14:textId="77777777" w:rsidR="000C76C0" w:rsidRPr="0052411A" w:rsidRDefault="000C76C0" w:rsidP="000C76C0">
      <w:pPr>
        <w:numPr>
          <w:ilvl w:val="0"/>
          <w:numId w:val="1"/>
        </w:numPr>
        <w:overflowPunct w:val="0"/>
        <w:autoSpaceDE w:val="0"/>
        <w:autoSpaceDN w:val="0"/>
        <w:adjustRightInd w:val="0"/>
        <w:contextualSpacing/>
        <w:textAlignment w:val="baseline"/>
        <w:rPr>
          <w:rFonts w:ascii="Times New Roman" w:hAnsi="Times New Roman"/>
          <w:sz w:val="24"/>
          <w:szCs w:val="24"/>
        </w:rPr>
      </w:pPr>
      <w:r w:rsidRPr="0052411A">
        <w:rPr>
          <w:rFonts w:ascii="Times New Roman" w:hAnsi="Times New Roman"/>
          <w:sz w:val="24"/>
          <w:szCs w:val="24"/>
        </w:rPr>
        <w:t>den Probebetrieb der geänderten Anlage.</w:t>
      </w:r>
      <w:r w:rsidRPr="0052411A">
        <w:rPr>
          <w:rFonts w:ascii="Times New Roman" w:hAnsi="Times New Roman"/>
          <w:sz w:val="24"/>
          <w:szCs w:val="24"/>
        </w:rPr>
        <w:br/>
      </w:r>
    </w:p>
    <w:p w14:paraId="1218DD7F"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Diese wesentlichen Änderungen sind ern</w:t>
      </w:r>
      <w:r w:rsidR="005F4D98">
        <w:rPr>
          <w:rFonts w:ascii="Times New Roman" w:eastAsia="Times New Roman" w:hAnsi="Times New Roman"/>
          <w:sz w:val="24"/>
          <w:szCs w:val="20"/>
          <w:lang w:eastAsia="de-DE"/>
        </w:rPr>
        <w:t xml:space="preserve">eut im Rahmen einer </w:t>
      </w:r>
      <w:r w:rsidRPr="00A66A9B">
        <w:rPr>
          <w:rFonts w:ascii="Times New Roman" w:eastAsia="Times New Roman" w:hAnsi="Times New Roman"/>
          <w:sz w:val="24"/>
          <w:szCs w:val="20"/>
          <w:lang w:eastAsia="de-DE"/>
        </w:rPr>
        <w:t>Vorprüfung nach Art. 9 Abs. 2 Nr. 2 UVPG zu bewerten.</w:t>
      </w:r>
    </w:p>
    <w:p w14:paraId="5EF60E34"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208BBC28"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Der Einwirkungs</w:t>
      </w:r>
      <w:r w:rsidR="00FA0A87">
        <w:rPr>
          <w:rFonts w:ascii="Times New Roman" w:eastAsia="Times New Roman" w:hAnsi="Times New Roman"/>
          <w:sz w:val="24"/>
          <w:szCs w:val="20"/>
          <w:lang w:eastAsia="de-DE"/>
        </w:rPr>
        <w:t>bereich wurde im Radius von 1.</w:t>
      </w:r>
      <w:r w:rsidR="005F4D98">
        <w:rPr>
          <w:rFonts w:ascii="Times New Roman" w:eastAsia="Times New Roman" w:hAnsi="Times New Roman"/>
          <w:sz w:val="24"/>
          <w:szCs w:val="20"/>
          <w:lang w:eastAsia="de-DE"/>
        </w:rPr>
        <w:t>0</w:t>
      </w:r>
      <w:r>
        <w:rPr>
          <w:rFonts w:ascii="Times New Roman" w:eastAsia="Times New Roman" w:hAnsi="Times New Roman"/>
          <w:sz w:val="24"/>
          <w:szCs w:val="20"/>
          <w:lang w:eastAsia="de-DE"/>
        </w:rPr>
        <w:t>0</w:t>
      </w:r>
      <w:r w:rsidR="00FA0A87">
        <w:rPr>
          <w:rFonts w:ascii="Times New Roman" w:eastAsia="Times New Roman" w:hAnsi="Times New Roman"/>
          <w:sz w:val="24"/>
          <w:szCs w:val="20"/>
          <w:lang w:eastAsia="de-DE"/>
        </w:rPr>
        <w:t>0</w:t>
      </w:r>
      <w:r>
        <w:rPr>
          <w:rFonts w:ascii="Times New Roman" w:eastAsia="Times New Roman" w:hAnsi="Times New Roman"/>
          <w:sz w:val="24"/>
          <w:szCs w:val="20"/>
          <w:lang w:eastAsia="de-DE"/>
        </w:rPr>
        <w:t xml:space="preserve"> m angesetzt (50-fache Kaminhöhe</w:t>
      </w:r>
      <w:r w:rsidRPr="00A66A9B">
        <w:rPr>
          <w:rFonts w:ascii="Times New Roman" w:eastAsia="Times New Roman" w:hAnsi="Times New Roman"/>
          <w:sz w:val="24"/>
          <w:szCs w:val="20"/>
          <w:lang w:eastAsia="de-DE"/>
        </w:rPr>
        <w:t xml:space="preserve"> nach TA Luft</w:t>
      </w:r>
      <w:r w:rsidR="005F4D98">
        <w:rPr>
          <w:rFonts w:ascii="Times New Roman" w:eastAsia="Times New Roman" w:hAnsi="Times New Roman"/>
          <w:sz w:val="24"/>
          <w:szCs w:val="20"/>
          <w:lang w:eastAsia="de-DE"/>
        </w:rPr>
        <w:t>, mindestens 1000 m</w:t>
      </w:r>
      <w:r w:rsidRPr="00A66A9B">
        <w:rPr>
          <w:rFonts w:ascii="Times New Roman" w:eastAsia="Times New Roman" w:hAnsi="Times New Roman"/>
          <w:sz w:val="24"/>
          <w:szCs w:val="20"/>
          <w:lang w:eastAsia="de-DE"/>
        </w:rPr>
        <w:t>).</w:t>
      </w:r>
    </w:p>
    <w:p w14:paraId="2BBE0726" w14:textId="77777777" w:rsidR="00ED7A10" w:rsidRDefault="00ED7A10" w:rsidP="00ED7A10">
      <w:pPr>
        <w:tabs>
          <w:tab w:val="left" w:pos="426"/>
          <w:tab w:val="left" w:pos="851"/>
        </w:tabs>
        <w:rPr>
          <w:rFonts w:ascii="Times New Roman" w:eastAsia="Times New Roman" w:hAnsi="Times New Roman"/>
          <w:sz w:val="24"/>
          <w:szCs w:val="20"/>
          <w:lang w:eastAsia="de-DE"/>
        </w:rPr>
      </w:pPr>
    </w:p>
    <w:p w14:paraId="3425149F"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Folgende besondere Standorte nach Anlage 3 zum UVPG liegen innerhalb des Betrachtungsradius:</w:t>
      </w:r>
      <w:r>
        <w:rPr>
          <w:rFonts w:ascii="Times New Roman" w:eastAsia="Times New Roman" w:hAnsi="Times New Roman"/>
          <w:sz w:val="24"/>
          <w:szCs w:val="20"/>
          <w:lang w:eastAsia="de-DE"/>
        </w:rPr>
        <w:br/>
      </w:r>
    </w:p>
    <w:p w14:paraId="0D94ED1C"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-Landschaftsschutzgebiet am Stausee Dingolfing</w:t>
      </w:r>
    </w:p>
    <w:p w14:paraId="2558FA61"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Bauliche Auswirkungen ergeben sich nicht. In das Landschaftsschutzgebiet wird nicht eingegriffen, die Maßnahme erfolgt innerhalb des Betriebsgeländes in einer bestehenden Halle.</w:t>
      </w:r>
    </w:p>
    <w:p w14:paraId="618A1F59"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Aufgrund der vorherrschenden Windverhältnisse sind Auswirkungen auf das in südlicher Richtung gelegene Landschaftsschutzgebiet nicht zu erwarten.</w:t>
      </w:r>
    </w:p>
    <w:p w14:paraId="0AE17772" w14:textId="77777777" w:rsidR="00E932DD" w:rsidRDefault="00E932DD" w:rsidP="00ED7A10">
      <w:pPr>
        <w:tabs>
          <w:tab w:val="left" w:pos="426"/>
          <w:tab w:val="left" w:pos="851"/>
        </w:tabs>
        <w:rPr>
          <w:rFonts w:ascii="Times New Roman" w:eastAsia="Times New Roman" w:hAnsi="Times New Roman"/>
          <w:sz w:val="24"/>
          <w:szCs w:val="20"/>
          <w:lang w:eastAsia="de-DE"/>
        </w:rPr>
      </w:pPr>
    </w:p>
    <w:p w14:paraId="06B0094A"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-Überschwemmungsgebiet Isar</w:t>
      </w:r>
    </w:p>
    <w:p w14:paraId="2A610A31"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Die Maßnahme berührt das festgesetzte Überschwemmungsgebiet nicht.</w:t>
      </w:r>
    </w:p>
    <w:p w14:paraId="67D0B704" w14:textId="77777777" w:rsidR="00E932DD" w:rsidRDefault="00E932DD" w:rsidP="00ED7A10">
      <w:pPr>
        <w:tabs>
          <w:tab w:val="left" w:pos="426"/>
          <w:tab w:val="left" w:pos="851"/>
        </w:tabs>
        <w:rPr>
          <w:rFonts w:ascii="Times New Roman" w:eastAsia="Times New Roman" w:hAnsi="Times New Roman"/>
          <w:sz w:val="24"/>
          <w:szCs w:val="20"/>
          <w:lang w:eastAsia="de-DE"/>
        </w:rPr>
      </w:pPr>
    </w:p>
    <w:p w14:paraId="4D09FDA7"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-Gebiete mit hoher Bevölkerungsdichte</w:t>
      </w:r>
    </w:p>
    <w:p w14:paraId="1354CA69" w14:textId="77777777"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Diese sind im unmittelbaren Umfeld der Anlage vorhanden; Stadt Dingolfing als Oberzentrum, Abstand zur nächsten Wohnbebauung ca. 150 m in östlicher Richtung</w:t>
      </w:r>
    </w:p>
    <w:p w14:paraId="36E5D059" w14:textId="7127A2BA" w:rsidR="00E932DD" w:rsidRDefault="00E932DD"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 xml:space="preserve">Keine Betroffenheit durch geruchsintensive Stoffe. Aufgrund der Entfernung zur Emissionsquelle und der geringen Emissionen können im umliegenden Wohngebiet keine </w:t>
      </w:r>
      <w:r w:rsidR="003364A2">
        <w:rPr>
          <w:rFonts w:ascii="Times New Roman" w:eastAsia="Times New Roman" w:hAnsi="Times New Roman"/>
          <w:sz w:val="24"/>
          <w:szCs w:val="20"/>
          <w:lang w:eastAsia="de-DE"/>
        </w:rPr>
        <w:t>Geruchsemissionen wahrgenommen werden.</w:t>
      </w:r>
    </w:p>
    <w:p w14:paraId="189AA35F" w14:textId="7F7A3944" w:rsidR="00654739" w:rsidRDefault="00654739" w:rsidP="00ED7A10">
      <w:pPr>
        <w:tabs>
          <w:tab w:val="left" w:pos="426"/>
          <w:tab w:val="left" w:pos="851"/>
        </w:tabs>
        <w:rPr>
          <w:rFonts w:ascii="Times New Roman" w:eastAsia="Times New Roman" w:hAnsi="Times New Roman"/>
          <w:sz w:val="24"/>
          <w:szCs w:val="20"/>
          <w:lang w:eastAsia="de-DE"/>
        </w:rPr>
      </w:pPr>
    </w:p>
    <w:p w14:paraId="774B84A5" w14:textId="77777777" w:rsidR="00654739" w:rsidRDefault="00654739" w:rsidP="00654739">
      <w:pPr>
        <w:pStyle w:val="Aufzhlungszeichen"/>
      </w:pPr>
      <w:r>
        <w:t>Aus immissionsschutzfachlicher Sicht ist davon auszugehen, dass das Vorhaben unter Beachtung der geltenden gesetzlichen Regelwerke keine erheblichen nachteiligen Umweltauswirkungen hervorruft. Die Anlage wird nach dem Stand der Technik errichtet und betrieben.</w:t>
      </w:r>
    </w:p>
    <w:p w14:paraId="272C9592" w14:textId="77777777" w:rsidR="00654739" w:rsidRDefault="00654739" w:rsidP="00654739">
      <w:pPr>
        <w:pStyle w:val="Aufzhlungszeichen"/>
      </w:pPr>
      <w:r>
        <w:t xml:space="preserve">Es entsteht kein zusätzlicher Verkehr im Zusammenhang mit der Änderungsmaßnahme. Die Schallemissionen der neuen Anlagen tragen zu keiner Erhöhung oder Überschreitung der zulässigen Richtwerte in der Nachbarschaft bei. </w:t>
      </w:r>
    </w:p>
    <w:p w14:paraId="7472BD9B" w14:textId="77777777" w:rsidR="00654739" w:rsidRDefault="00654739" w:rsidP="00654739">
      <w:pPr>
        <w:pStyle w:val="Aufzhlungszeichen"/>
      </w:pPr>
      <w:r>
        <w:t>Aufgrund der Vorbelastung durch das bestehende Industriegelände hat die Änderung der Anlage keine negativen Auswirkungen auf die Schutzgüter „Mensch, Wohnumfeld, Verkehr und Lärm“.</w:t>
      </w:r>
    </w:p>
    <w:p w14:paraId="70E0CCA8" w14:textId="77777777" w:rsidR="00654739" w:rsidRDefault="00654739" w:rsidP="00654739">
      <w:pPr>
        <w:pStyle w:val="Aufzhlungszeichen"/>
      </w:pPr>
    </w:p>
    <w:p w14:paraId="7B1831DA" w14:textId="051AC1A4" w:rsidR="00654739" w:rsidRDefault="00654739" w:rsidP="00654739">
      <w:pPr>
        <w:pStyle w:val="Aufzhlungszeichen"/>
      </w:pPr>
      <w:r>
        <w:t>Auf der Fläche des bestehenden Industriegebietes sind auch keine schützenswerten Tier – oder Pflanzenarten vorhanden. Die Anlage wird in einer bestehenden Halle eingebaut. Ein zusätzlicher Flächenbedarf bzw. eine zusätzliche Flächenversiegelung ist nicht gegeben.</w:t>
      </w:r>
    </w:p>
    <w:p w14:paraId="6A3D7CE4" w14:textId="77777777" w:rsidR="00654739" w:rsidRDefault="00654739" w:rsidP="00654739">
      <w:pPr>
        <w:pStyle w:val="Aufzhlungszeichen"/>
      </w:pPr>
    </w:p>
    <w:p w14:paraId="53ED2B0A" w14:textId="2D70A7E1" w:rsidR="00654739" w:rsidRDefault="00654739" w:rsidP="00654739">
      <w:pPr>
        <w:pStyle w:val="Aufzhlungszeichen"/>
      </w:pPr>
      <w:r>
        <w:lastRenderedPageBreak/>
        <w:t>Durch das Erweiterungsgebäude wird das Grundwasser kontrolliert durch Bohr- /Mikropfähle beeinflusst.</w:t>
      </w:r>
      <w:r w:rsidRPr="00CF6002">
        <w:t xml:space="preserve"> </w:t>
      </w:r>
      <w:r>
        <w:t>Es werden aber keine großflächigen Hindernisse ins Grundwasser eingebracht. Für diese Benutzung wird ein eigenständiges wasserrechtliches Verfahren durchgeführt und durch Festlegung entsprechender Auflagen die Auswirkung auf das Grundwasser minimiert.</w:t>
      </w:r>
    </w:p>
    <w:p w14:paraId="4C991445" w14:textId="77777777" w:rsidR="00654739" w:rsidRDefault="00654739" w:rsidP="00654739">
      <w:pPr>
        <w:pStyle w:val="Aufzhlungszeichen"/>
      </w:pPr>
    </w:p>
    <w:p w14:paraId="27AB7BA7" w14:textId="77777777" w:rsidR="00654739" w:rsidRDefault="00654739" w:rsidP="00654739">
      <w:pPr>
        <w:pStyle w:val="Aufzhlungszeichen"/>
      </w:pPr>
      <w:r>
        <w:t xml:space="preserve">Auf das Klima bzw. die Luft sind keine Auswirkungen zu erwarten, </w:t>
      </w:r>
      <w:bookmarkStart w:id="0" w:name="_Hlk204930077"/>
      <w:r>
        <w:t>die neuen Verdunstungskühlanlagen entsprechen dem Stand der Technik.</w:t>
      </w:r>
    </w:p>
    <w:p w14:paraId="78B36E50" w14:textId="77777777" w:rsidR="00654739" w:rsidRDefault="00654739" w:rsidP="00654739">
      <w:pPr>
        <w:pStyle w:val="Aufzhlungszeichen"/>
      </w:pPr>
    </w:p>
    <w:bookmarkEnd w:id="0"/>
    <w:p w14:paraId="169BD931" w14:textId="13F9C406" w:rsidR="00654739" w:rsidRDefault="00654739" w:rsidP="00654739">
      <w:pPr>
        <w:pStyle w:val="Aufzhlungszeichen"/>
      </w:pPr>
      <w:r>
        <w:t>Das vorhandene Industriegelände wird im Erscheinungsbild bzw. hinsichtlich der Wirkung auf das Landschaftsbild durch den Austausch der Verdunstungskühlanlagen nicht verändert. Es bestehen bereits derartige Anlagen an dieser Stelle und im weiteren Industriegebiet.</w:t>
      </w:r>
    </w:p>
    <w:p w14:paraId="6FE1D9DE" w14:textId="77777777" w:rsidR="00654739" w:rsidRDefault="00654739" w:rsidP="00654739">
      <w:pPr>
        <w:pStyle w:val="Aufzhlungszeichen"/>
      </w:pPr>
    </w:p>
    <w:p w14:paraId="59E3D1F0" w14:textId="77777777" w:rsidR="00654739" w:rsidRDefault="00654739" w:rsidP="00654739">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Auswirkungen der Anlage auf Bau- und Bodendenkmäler sind nicht gegeben.</w:t>
      </w:r>
    </w:p>
    <w:p w14:paraId="73E7F674" w14:textId="77777777" w:rsidR="00654739" w:rsidRDefault="00654739" w:rsidP="00654739">
      <w:pPr>
        <w:pStyle w:val="Aufzhlungszeichen"/>
      </w:pPr>
    </w:p>
    <w:p w14:paraId="24E6AF30" w14:textId="77777777" w:rsidR="00654739" w:rsidRDefault="00654739" w:rsidP="00654739">
      <w:pPr>
        <w:pStyle w:val="Aufzhlungszeichen"/>
      </w:pPr>
      <w:r>
        <w:t>Auch seitens der Fachkraft für Naturschutz sind keine Auswirkungen auf die Schutzgüter zu erwarten.</w:t>
      </w:r>
    </w:p>
    <w:p w14:paraId="40DB7F68" w14:textId="77777777" w:rsidR="00654739" w:rsidRDefault="00654739" w:rsidP="00654739">
      <w:pPr>
        <w:pStyle w:val="Aufzhlungszeichen"/>
      </w:pPr>
    </w:p>
    <w:p w14:paraId="766A3841" w14:textId="77777777" w:rsidR="00E932DD" w:rsidRPr="00A66A9B" w:rsidRDefault="00E932DD" w:rsidP="00ED7A10">
      <w:pPr>
        <w:tabs>
          <w:tab w:val="left" w:pos="426"/>
          <w:tab w:val="left" w:pos="851"/>
        </w:tabs>
        <w:rPr>
          <w:rFonts w:ascii="Times New Roman" w:eastAsia="Times New Roman" w:hAnsi="Times New Roman"/>
          <w:sz w:val="24"/>
          <w:szCs w:val="20"/>
          <w:lang w:eastAsia="de-DE"/>
        </w:rPr>
      </w:pPr>
    </w:p>
    <w:p w14:paraId="63FD1D3B" w14:textId="06D41F37"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Eine umfassende Umweltverträglichkeitsprüfung ist für das Änderungsvorhaben somit nicht erforderlich.</w:t>
      </w:r>
      <w:r w:rsidR="0052411A">
        <w:rPr>
          <w:rFonts w:ascii="Times New Roman" w:eastAsia="Times New Roman" w:hAnsi="Times New Roman"/>
          <w:sz w:val="24"/>
          <w:szCs w:val="20"/>
          <w:lang w:eastAsia="de-DE"/>
        </w:rPr>
        <w:t xml:space="preserve"> Insbesondere sind keine besonderen örtlichen Gegebenheiten gemäß Anlage 3 Nummer 2.3 </w:t>
      </w:r>
      <w:r w:rsidR="0059657D">
        <w:rPr>
          <w:rFonts w:ascii="Times New Roman" w:eastAsia="Times New Roman" w:hAnsi="Times New Roman"/>
          <w:sz w:val="24"/>
          <w:szCs w:val="20"/>
          <w:lang w:eastAsia="de-DE"/>
        </w:rPr>
        <w:t>betroffen</w:t>
      </w:r>
      <w:r w:rsidR="0052411A">
        <w:rPr>
          <w:rFonts w:ascii="Times New Roman" w:eastAsia="Times New Roman" w:hAnsi="Times New Roman"/>
          <w:sz w:val="24"/>
          <w:szCs w:val="20"/>
          <w:lang w:eastAsia="de-DE"/>
        </w:rPr>
        <w:t>.</w:t>
      </w:r>
    </w:p>
    <w:p w14:paraId="005757F3"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31D5ADE4" w14:textId="4A15F1B2"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Die Entscheidung wird</w:t>
      </w:r>
      <w:r>
        <w:rPr>
          <w:rFonts w:ascii="Times New Roman" w:eastAsia="Times New Roman" w:hAnsi="Times New Roman"/>
          <w:sz w:val="24"/>
          <w:szCs w:val="20"/>
          <w:lang w:eastAsia="de-DE"/>
        </w:rPr>
        <w:t xml:space="preserve"> </w:t>
      </w:r>
      <w:r w:rsidRPr="00A66A9B">
        <w:rPr>
          <w:rFonts w:ascii="Times New Roman" w:eastAsia="Times New Roman" w:hAnsi="Times New Roman"/>
          <w:sz w:val="24"/>
          <w:szCs w:val="20"/>
          <w:lang w:eastAsia="de-DE"/>
        </w:rPr>
        <w:t>im UVP-Portal Bayern öffentlich bekanntgemacht (§ 5 Abs. 2 UVPG).</w:t>
      </w:r>
    </w:p>
    <w:p w14:paraId="6D7CC889"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67262DA6"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Nähere Informationen erhalten Sie beim Landratsamt Dingolfing-Landau unter Tel.: 08731/87-224</w:t>
      </w:r>
      <w:r>
        <w:rPr>
          <w:rFonts w:ascii="Times New Roman" w:eastAsia="Times New Roman" w:hAnsi="Times New Roman"/>
          <w:sz w:val="24"/>
          <w:szCs w:val="20"/>
          <w:lang w:eastAsia="de-DE"/>
        </w:rPr>
        <w:t>.</w:t>
      </w:r>
    </w:p>
    <w:p w14:paraId="3EB21923"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517B39C4"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Landratsamt Dingolfing-Landau - SG 42</w:t>
      </w:r>
    </w:p>
    <w:p w14:paraId="7F63FD2D" w14:textId="3BE41E27" w:rsidR="00ED7A10" w:rsidRPr="00A66A9B" w:rsidRDefault="003364A2" w:rsidP="00ED7A10">
      <w:pPr>
        <w:tabs>
          <w:tab w:val="left" w:pos="426"/>
          <w:tab w:val="left" w:pos="851"/>
        </w:tabs>
        <w:rPr>
          <w:rFonts w:ascii="Times New Roman" w:eastAsia="Times New Roman" w:hAnsi="Times New Roman"/>
          <w:sz w:val="24"/>
          <w:szCs w:val="20"/>
          <w:lang w:eastAsia="de-DE"/>
        </w:rPr>
      </w:pPr>
      <w:r>
        <w:rPr>
          <w:rFonts w:ascii="Times New Roman" w:eastAsia="Times New Roman" w:hAnsi="Times New Roman"/>
          <w:sz w:val="24"/>
          <w:szCs w:val="20"/>
          <w:lang w:eastAsia="de-DE"/>
        </w:rPr>
        <w:t xml:space="preserve">Dgf., </w:t>
      </w:r>
      <w:r w:rsidR="0052411A">
        <w:rPr>
          <w:rFonts w:ascii="Times New Roman" w:eastAsia="Times New Roman" w:hAnsi="Times New Roman"/>
          <w:sz w:val="24"/>
          <w:szCs w:val="20"/>
          <w:lang w:eastAsia="de-DE"/>
        </w:rPr>
        <w:t>19.06</w:t>
      </w:r>
      <w:r w:rsidR="008F0B82">
        <w:rPr>
          <w:rFonts w:ascii="Times New Roman" w:eastAsia="Times New Roman" w:hAnsi="Times New Roman"/>
          <w:sz w:val="24"/>
          <w:szCs w:val="20"/>
          <w:lang w:eastAsia="de-DE"/>
        </w:rPr>
        <w:t>.</w:t>
      </w:r>
      <w:r w:rsidR="001D0BBD">
        <w:rPr>
          <w:rFonts w:ascii="Times New Roman" w:eastAsia="Times New Roman" w:hAnsi="Times New Roman"/>
          <w:sz w:val="24"/>
          <w:szCs w:val="20"/>
          <w:lang w:eastAsia="de-DE"/>
        </w:rPr>
        <w:t>202</w:t>
      </w:r>
      <w:r w:rsidR="0052411A">
        <w:rPr>
          <w:rFonts w:ascii="Times New Roman" w:eastAsia="Times New Roman" w:hAnsi="Times New Roman"/>
          <w:sz w:val="24"/>
          <w:szCs w:val="20"/>
          <w:lang w:eastAsia="de-DE"/>
        </w:rPr>
        <w:t>6</w:t>
      </w:r>
    </w:p>
    <w:p w14:paraId="39F4938B"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76CD206C"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3661C2C6"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p>
    <w:p w14:paraId="5F7A035D" w14:textId="77777777" w:rsidR="00ED7A10" w:rsidRPr="00A66A9B" w:rsidRDefault="00ED7A10" w:rsidP="00ED7A10">
      <w:pPr>
        <w:tabs>
          <w:tab w:val="left" w:pos="426"/>
          <w:tab w:val="left" w:pos="851"/>
        </w:tabs>
        <w:rPr>
          <w:rFonts w:ascii="Times New Roman" w:eastAsia="Times New Roman" w:hAnsi="Times New Roman"/>
          <w:sz w:val="24"/>
          <w:szCs w:val="20"/>
          <w:lang w:eastAsia="de-DE"/>
        </w:rPr>
      </w:pPr>
      <w:r w:rsidRPr="00A66A9B">
        <w:rPr>
          <w:rFonts w:ascii="Times New Roman" w:eastAsia="Times New Roman" w:hAnsi="Times New Roman"/>
          <w:sz w:val="24"/>
          <w:szCs w:val="20"/>
          <w:lang w:eastAsia="de-DE"/>
        </w:rPr>
        <w:t>Kerstin Kameter-Schenkl</w:t>
      </w:r>
    </w:p>
    <w:sectPr w:rsidR="00ED7A10" w:rsidRPr="00A66A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E1228"/>
    <w:multiLevelType w:val="hybridMultilevel"/>
    <w:tmpl w:val="940E8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10"/>
    <w:rsid w:val="000361A9"/>
    <w:rsid w:val="000C76C0"/>
    <w:rsid w:val="00153D1E"/>
    <w:rsid w:val="001C4CF1"/>
    <w:rsid w:val="001D0BBD"/>
    <w:rsid w:val="003364A2"/>
    <w:rsid w:val="0052411A"/>
    <w:rsid w:val="0055000A"/>
    <w:rsid w:val="0059657D"/>
    <w:rsid w:val="005E62FC"/>
    <w:rsid w:val="005F4D98"/>
    <w:rsid w:val="00654739"/>
    <w:rsid w:val="008409C2"/>
    <w:rsid w:val="0088006E"/>
    <w:rsid w:val="008D6C06"/>
    <w:rsid w:val="008F0B82"/>
    <w:rsid w:val="00906DC7"/>
    <w:rsid w:val="00951501"/>
    <w:rsid w:val="0095777C"/>
    <w:rsid w:val="00965D72"/>
    <w:rsid w:val="00974BAA"/>
    <w:rsid w:val="0098770C"/>
    <w:rsid w:val="009C1713"/>
    <w:rsid w:val="00AC613F"/>
    <w:rsid w:val="00B12F35"/>
    <w:rsid w:val="00BA50FD"/>
    <w:rsid w:val="00BC7203"/>
    <w:rsid w:val="00C425D7"/>
    <w:rsid w:val="00D315C1"/>
    <w:rsid w:val="00DC5506"/>
    <w:rsid w:val="00E932DD"/>
    <w:rsid w:val="00EA38CA"/>
    <w:rsid w:val="00ED7A10"/>
    <w:rsid w:val="00EE6F1E"/>
    <w:rsid w:val="00EE7823"/>
    <w:rsid w:val="00F06F60"/>
    <w:rsid w:val="00FA0A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1AA4D"/>
  <w15:chartTrackingRefBased/>
  <w15:docId w15:val="{02A42F73-A5E6-410B-88AF-FA862904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7A10"/>
    <w:rPr>
      <w:rFonts w:ascii="Arial" w:eastAsia="Calibri"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D0BBD"/>
    <w:rPr>
      <w:rFonts w:ascii="Segoe UI" w:hAnsi="Segoe UI" w:cs="Segoe UI"/>
      <w:sz w:val="18"/>
      <w:szCs w:val="18"/>
    </w:rPr>
  </w:style>
  <w:style w:type="character" w:customStyle="1" w:styleId="SprechblasentextZchn">
    <w:name w:val="Sprechblasentext Zchn"/>
    <w:basedOn w:val="Absatz-Standardschriftart"/>
    <w:link w:val="Sprechblasentext"/>
    <w:rsid w:val="001D0BBD"/>
    <w:rPr>
      <w:rFonts w:ascii="Segoe UI" w:eastAsia="Calibri" w:hAnsi="Segoe UI" w:cs="Segoe UI"/>
      <w:sz w:val="18"/>
      <w:szCs w:val="18"/>
      <w:lang w:eastAsia="en-US"/>
    </w:rPr>
  </w:style>
  <w:style w:type="paragraph" w:styleId="Aufzhlungszeichen">
    <w:name w:val="List Bullet"/>
    <w:basedOn w:val="Standard"/>
    <w:autoRedefine/>
    <w:rsid w:val="00654739"/>
    <w:pPr>
      <w:tabs>
        <w:tab w:val="left" w:pos="426"/>
        <w:tab w:val="left" w:pos="851"/>
      </w:tabs>
    </w:pPr>
    <w:rPr>
      <w:rFonts w:ascii="Times New Roman" w:eastAsia="Times New Roman" w:hAnsi="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5634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Kameter-Schenkl Kerstin</dc:creator>
  <cp:keywords/>
  <dc:description/>
  <cp:lastModifiedBy>Kameter-Schenkl Kerstin</cp:lastModifiedBy>
  <cp:revision>4</cp:revision>
  <cp:lastPrinted>2022-08-30T10:10:00Z</cp:lastPrinted>
  <dcterms:created xsi:type="dcterms:W3CDTF">2026-06-23T09:08:00Z</dcterms:created>
  <dcterms:modified xsi:type="dcterms:W3CDTF">2026-06-24T07:19:00Z</dcterms:modified>
</cp:coreProperties>
</file>