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9" w:rsidRPr="001102A9" w:rsidRDefault="001102A9" w:rsidP="001102A9">
      <w:r w:rsidRPr="001102A9">
        <w:t xml:space="preserve">Az. </w:t>
      </w:r>
      <w:r>
        <w:t>42-170/3/2 – 376</w:t>
      </w:r>
    </w:p>
    <w:p w:rsidR="001102A9" w:rsidRPr="001102A9" w:rsidRDefault="001102A9" w:rsidP="001102A9">
      <w:pPr>
        <w:rPr>
          <w:b/>
        </w:rPr>
      </w:pPr>
      <w:r w:rsidRPr="001102A9">
        <w:rPr>
          <w:b/>
        </w:rPr>
        <w:t xml:space="preserve">Antrag der Q1 Energie AG, Rheinstraße 82, 49090 Osnabrück nach § 4 BImSchG zur </w:t>
      </w:r>
      <w:r>
        <w:rPr>
          <w:b/>
        </w:rPr>
        <w:t xml:space="preserve">Erteilung der immissionsschutzrechtlichen Genehmigung für die </w:t>
      </w:r>
      <w:r w:rsidRPr="001102A9">
        <w:rPr>
          <w:b/>
        </w:rPr>
        <w:t xml:space="preserve">Errichtung und zum Betrieb </w:t>
      </w:r>
      <w:r>
        <w:rPr>
          <w:b/>
        </w:rPr>
        <w:t xml:space="preserve">einer </w:t>
      </w:r>
      <w:r w:rsidRPr="001102A9">
        <w:rPr>
          <w:b/>
        </w:rPr>
        <w:t xml:space="preserve">Anlage zur Lagerung von entzündlichen Stoffen bzw. entzündlichen Gasen mit einer Kapazität von weniger als 30 t LNG, genehmigungspflichtig nach Ziffer 9.1.1.2 (V) des Anhangs zur 4. BImSchV am Standort Schwaiger Straße, 84130 Dingolfing auf dem Grundstück </w:t>
      </w:r>
      <w:proofErr w:type="spellStart"/>
      <w:r w:rsidRPr="001102A9">
        <w:rPr>
          <w:b/>
        </w:rPr>
        <w:t>FlNr</w:t>
      </w:r>
      <w:proofErr w:type="spellEnd"/>
      <w:r w:rsidRPr="001102A9">
        <w:rPr>
          <w:b/>
        </w:rPr>
        <w:t>. 3177/22, Gmk. Dingolfing</w:t>
      </w:r>
      <w:r>
        <w:rPr>
          <w:b/>
        </w:rPr>
        <w:t xml:space="preserve"> (LNG-Tankstelle)</w:t>
      </w:r>
    </w:p>
    <w:p w:rsidR="001102A9" w:rsidRPr="001102A9" w:rsidRDefault="001102A9" w:rsidP="001102A9"/>
    <w:p w:rsidR="001102A9" w:rsidRPr="001102A9" w:rsidRDefault="001102A9" w:rsidP="001102A9">
      <w:pPr>
        <w:numPr>
          <w:ilvl w:val="0"/>
          <w:numId w:val="1"/>
        </w:numPr>
        <w:rPr>
          <w:b/>
        </w:rPr>
      </w:pPr>
      <w:r w:rsidRPr="001102A9">
        <w:rPr>
          <w:b/>
        </w:rPr>
        <w:t>Aktenvermerk</w:t>
      </w:r>
      <w:r w:rsidRPr="001102A9">
        <w:rPr>
          <w:b/>
        </w:rPr>
        <w:br/>
      </w:r>
    </w:p>
    <w:p w:rsidR="001102A9" w:rsidRPr="00EA6811" w:rsidRDefault="001102A9" w:rsidP="00EA6811">
      <w:pPr>
        <w:jc w:val="both"/>
        <w:rPr>
          <w:rFonts w:ascii="Arial" w:hAnsi="Arial" w:cs="Arial"/>
          <w:sz w:val="22"/>
          <w:szCs w:val="22"/>
        </w:rPr>
      </w:pPr>
      <w:r>
        <w:t>Mit Unterlagen vom 15.12.2021, eingegangen beim Landratsamt Dingolfing-Landau am 11.01.2022</w:t>
      </w:r>
      <w:r w:rsidR="00EA6811">
        <w:t>,</w:t>
      </w:r>
      <w:r>
        <w:t xml:space="preserve"> beantragte die Q1 Energie AG die Erteilung der Genehmigung nach </w:t>
      </w:r>
      <w:r>
        <w:br/>
        <w:t xml:space="preserve">§ 4 Bundesimmissionsschutzgesetz zur Errichtung und zum Betrieb LNG-Tankstelle, also einer Lageranlage für flüssiges Erdgas, im Wesentlichen </w:t>
      </w:r>
      <w:r w:rsidRPr="004B41F7">
        <w:t>bestehend aus einem doppelwandigen vakuumisolierten Behälter für tiefkaltes, verflüssigtes Erdgas mit einem Fassungsvermögen von 24,5 t.</w:t>
      </w:r>
    </w:p>
    <w:p w:rsidR="001102A9" w:rsidRPr="001102A9" w:rsidRDefault="001102A9" w:rsidP="001102A9">
      <w:r w:rsidRPr="001102A9">
        <w:t>Gleichzeitig wurde die Zulassung des vorzeitigen Beginns beantragt.</w:t>
      </w:r>
    </w:p>
    <w:p w:rsidR="001102A9" w:rsidRPr="001102A9" w:rsidRDefault="001102A9" w:rsidP="001102A9"/>
    <w:p w:rsidR="001102A9" w:rsidRPr="001102A9" w:rsidRDefault="001102A9" w:rsidP="001102A9">
      <w:r w:rsidRPr="001102A9">
        <w:t>Im Rahmen des Genehmigung</w:t>
      </w:r>
      <w:r>
        <w:t xml:space="preserve">sverfahrens ist eine standortbezogene </w:t>
      </w:r>
      <w:r w:rsidRPr="001102A9">
        <w:t>Vorprüfung des Einzelfalles durchzuf</w:t>
      </w:r>
      <w:r>
        <w:t>ühren (§ 7 Abs. 2 UVPG, Ziffer 9</w:t>
      </w:r>
      <w:r w:rsidRPr="001102A9">
        <w:t>.1.1.3 des Gesetzes über die Umweltverträglichkeitsprüfung –UVPG).</w:t>
      </w:r>
    </w:p>
    <w:p w:rsidR="001102A9" w:rsidRPr="001102A9" w:rsidRDefault="001102A9" w:rsidP="001102A9">
      <w:pPr>
        <w:tabs>
          <w:tab w:val="center" w:pos="4536"/>
          <w:tab w:val="right" w:pos="9072"/>
        </w:tabs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 xml:space="preserve">Durch den Träger des Vorhabens wurden die wesentlichen Angaben nach Anlage 2 zum UVPG im Rahmen des Zulassungsverfahrens </w:t>
      </w:r>
      <w:r>
        <w:rPr>
          <w:kern w:val="16"/>
        </w:rPr>
        <w:t>gemacht (s. Abschnitt 14</w:t>
      </w:r>
      <w:r w:rsidRPr="001102A9">
        <w:rPr>
          <w:kern w:val="16"/>
        </w:rPr>
        <w:t xml:space="preserve"> der Antragsunterlagen).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Default="001102A9" w:rsidP="001102A9">
      <w:pPr>
        <w:jc w:val="both"/>
      </w:pPr>
      <w:r w:rsidRPr="006B3819">
        <w:t>Nach § 7 Absatz 2 U</w:t>
      </w:r>
      <w:r>
        <w:t>VPG ist bei Neuvorhaben nach Ziffer</w:t>
      </w:r>
      <w:r w:rsidRPr="006B3819">
        <w:t xml:space="preserve"> 9.1.1.3 der Anlage 1 UVPG eine standortbezogene Vorprüfung zur Feststellung der UVP-Pflicht durchzuführen.  Die Durchführung erfolgt in zwei Stufen als überschlägige Prüfung.  In der ersten Stufe prüft die Behörde, ob bei dem Neuvorhaben besondere örtliche Gegebenheiten gemäß den in Anlage 3 Nummer 2.3 UVPG aufgeführten Schutzkriterien vorliegen. Ergibt die Prüfung, dass keine besonderen örtlichen Gegebenheiten vorliegen, so besteht keine UVP-Pflicht. Ergibt die Prüfung in der ersten Stufe, dass besondere örtliche Gegebenheiten vorliegen, so prüft die Behörde auf der zweiten Stufe unter Berücksichtigung der in Anlage 3 aufgeführten Kriterien,</w:t>
      </w:r>
      <w:r w:rsidR="00EA6811">
        <w:t xml:space="preserve"> ob das Neuvorhaben erhebliche n</w:t>
      </w:r>
      <w:r w:rsidRPr="006B3819">
        <w:t>achteilige Umweltauswirkungen haben kann, die die besondere Empfindlichkeit oder die Schutzziele des Gebietes betreffen und nach § 25 Absatz 2 bei der Zulassungsentscheidung zu berücksichtigen wären. Eine UVP-Pflicht besteht, wenn das Neuvorhaben solche Umweltauswirkungen haben kann.</w:t>
      </w:r>
    </w:p>
    <w:p w:rsidR="001102A9" w:rsidRPr="006B3819" w:rsidRDefault="001102A9" w:rsidP="001102A9">
      <w:pPr>
        <w:jc w:val="both"/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Das Vorhaben überschreitet -bedingt</w:t>
      </w:r>
      <w:r>
        <w:rPr>
          <w:kern w:val="16"/>
        </w:rPr>
        <w:t xml:space="preserve"> durch Lagermenge von 24,5 t LNG</w:t>
      </w:r>
      <w:r w:rsidRPr="001102A9">
        <w:rPr>
          <w:kern w:val="16"/>
        </w:rPr>
        <w:t xml:space="preserve"> -den </w:t>
      </w:r>
      <w:proofErr w:type="spellStart"/>
      <w:r w:rsidRPr="001102A9">
        <w:rPr>
          <w:kern w:val="16"/>
        </w:rPr>
        <w:t>Prüfwert</w:t>
      </w:r>
      <w:proofErr w:type="spellEnd"/>
      <w:r w:rsidRPr="001102A9">
        <w:rPr>
          <w:kern w:val="16"/>
        </w:rPr>
        <w:t xml:space="preserve"> </w:t>
      </w:r>
      <w:r>
        <w:rPr>
          <w:kern w:val="16"/>
        </w:rPr>
        <w:t>nach Ziffer 9</w:t>
      </w:r>
      <w:r w:rsidRPr="001102A9">
        <w:rPr>
          <w:kern w:val="16"/>
        </w:rPr>
        <w:t xml:space="preserve">.1.1.3 des Anhangs zum UVPG. </w:t>
      </w: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 xml:space="preserve">Es war somit erstmals eine </w:t>
      </w:r>
      <w:r>
        <w:rPr>
          <w:kern w:val="16"/>
        </w:rPr>
        <w:t>standortbezogene</w:t>
      </w:r>
      <w:r w:rsidRPr="001102A9">
        <w:rPr>
          <w:kern w:val="16"/>
        </w:rPr>
        <w:t xml:space="preserve"> Vorprüfung im Rahmen dieser Beantragung durchzuführen. </w:t>
      </w:r>
    </w:p>
    <w:p w:rsidR="001102A9" w:rsidRPr="001102A9" w:rsidRDefault="001102A9" w:rsidP="001102A9">
      <w:pPr>
        <w:rPr>
          <w:kern w:val="16"/>
        </w:rPr>
      </w:pPr>
    </w:p>
    <w:p w:rsidR="001102A9" w:rsidRDefault="001102A9" w:rsidP="001102A9">
      <w:pPr>
        <w:jc w:val="both"/>
      </w:pPr>
      <w:r w:rsidRPr="006B3819">
        <w:t>I</w:t>
      </w:r>
      <w:r>
        <w:t>m Einwirkungsbereich des</w:t>
      </w:r>
      <w:r w:rsidRPr="006B3819">
        <w:t xml:space="preserve"> beantragten Flüssiggaslagers befinden sich keine Natura 2000-Gebiete nach § 7 Absatz 1 Nummer 8 des Bundesnaturschutzgesetzes (BNatSchG), keine Naturschutzgebiete nach § 23 des BNatSchG, keine Nationalparke und Nationale Naturmonumente nach § 24 BNatSchG, keine Biosphärenreservate und Landschaftsschutzgebiete gemäß den §§ 25 und 26 des BNatSchG, keine Naturdenkmäler nach § 28 BNatSchG, keine geschützten Landschaftsbestandteile, einschließlich Alleen, nach § 29 des BNatSchG, keine Wasserschutzgebiete nach § 51 WHG (Wasserhaushaltsgesetz) oder weitere in der Nr. 2.3.8 erfassten Gebiete, keine Gebiete</w:t>
      </w:r>
      <w:r>
        <w:t>,</w:t>
      </w:r>
      <w:r w:rsidRPr="006B3819">
        <w:t xml:space="preserve"> in denen die in Vorschriften der </w:t>
      </w:r>
      <w:r w:rsidRPr="006B3819">
        <w:lastRenderedPageBreak/>
        <w:t>Europäischen Union festgelegten Umweltqualitätsnormen bereits überschritten sind und keine Gebiete mit hoher Bevölkerungsdichte.</w:t>
      </w:r>
    </w:p>
    <w:p w:rsidR="001102A9" w:rsidRPr="006B3819" w:rsidRDefault="001102A9" w:rsidP="001102A9">
      <w:pPr>
        <w:jc w:val="both"/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 xml:space="preserve">Nach der Stellungnahme der Fachkraft für Naturschutz wurden die naturschutzfachlichen Anforderungen in der zugrundeliegenden Bauleitplanung berücksichtigt. </w:t>
      </w:r>
      <w:r>
        <w:rPr>
          <w:kern w:val="16"/>
        </w:rPr>
        <w:t xml:space="preserve">In diese festgesetzten Grünflächen wird durch das Vorhaben allerdings eingegriffen. Durch die Umsetzung der im </w:t>
      </w:r>
      <w:r w:rsidR="00F2199E">
        <w:rPr>
          <w:kern w:val="16"/>
        </w:rPr>
        <w:t xml:space="preserve">vorzulegenden </w:t>
      </w:r>
      <w:r w:rsidRPr="001102A9">
        <w:rPr>
          <w:kern w:val="16"/>
        </w:rPr>
        <w:t>Freiflächengestaltungsplanes</w:t>
      </w:r>
      <w:r>
        <w:rPr>
          <w:kern w:val="16"/>
        </w:rPr>
        <w:t xml:space="preserve"> f</w:t>
      </w:r>
      <w:r w:rsidR="00EA6811">
        <w:rPr>
          <w:kern w:val="16"/>
        </w:rPr>
        <w:t>ür den Ausgleich des Eingriffes</w:t>
      </w:r>
      <w:r w:rsidRPr="001102A9">
        <w:rPr>
          <w:kern w:val="16"/>
        </w:rPr>
        <w:t xml:space="preserve"> kann jedoch den naturschutzfachlichen Belangen ausreichend Rechnung getragen werden. Eine UVP-Pflicht ist für das Vorhaben aus naturschutzfachlicher Sicht nicht gegeben.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6F1BEB" w:rsidP="001102A9">
      <w:pPr>
        <w:jc w:val="both"/>
        <w:rPr>
          <w:kern w:val="16"/>
        </w:rPr>
      </w:pPr>
      <w:r>
        <w:rPr>
          <w:kern w:val="16"/>
        </w:rPr>
        <w:t>LNG ist für die Betankung von LKW eine umweltfreundliche Alternative zu Diesel. Mit LNG angetriebene Motoren stoßen keinen Feinstaub aus un</w:t>
      </w:r>
      <w:r w:rsidR="00EA6811">
        <w:rPr>
          <w:kern w:val="16"/>
        </w:rPr>
        <w:t>d emittieren deutlich weniger CO</w:t>
      </w:r>
      <w:r w:rsidR="00EA6811">
        <w:rPr>
          <w:kern w:val="16"/>
          <w:vertAlign w:val="subscript"/>
        </w:rPr>
        <w:t>2</w:t>
      </w:r>
      <w:r>
        <w:rPr>
          <w:kern w:val="16"/>
        </w:rPr>
        <w:t xml:space="preserve"> als Dieselfahrzeuge. Die Entwicklung eines bundesweiten LNG-Tankstellennetzes entspricht somit umwelt- und klimaschutzpolitischen Zielsetzungen.</w:t>
      </w: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In der A</w:t>
      </w:r>
      <w:r w:rsidR="006F1BEB">
        <w:rPr>
          <w:kern w:val="16"/>
        </w:rPr>
        <w:t xml:space="preserve">usarbeitung des Ing. </w:t>
      </w:r>
      <w:proofErr w:type="spellStart"/>
      <w:r w:rsidR="006F1BEB">
        <w:rPr>
          <w:kern w:val="16"/>
        </w:rPr>
        <w:t>büros</w:t>
      </w:r>
      <w:proofErr w:type="spellEnd"/>
      <w:r w:rsidR="006F1BEB">
        <w:rPr>
          <w:kern w:val="16"/>
        </w:rPr>
        <w:t xml:space="preserve"> Kocks</w:t>
      </w:r>
      <w:r w:rsidR="00482543">
        <w:rPr>
          <w:kern w:val="16"/>
        </w:rPr>
        <w:t xml:space="preserve"> </w:t>
      </w:r>
      <w:r w:rsidR="006F1BEB">
        <w:rPr>
          <w:kern w:val="16"/>
        </w:rPr>
        <w:t>vom Dezember 2021</w:t>
      </w:r>
      <w:r w:rsidR="00482543">
        <w:rPr>
          <w:kern w:val="16"/>
        </w:rPr>
        <w:t xml:space="preserve"> zur standortbezogenen </w:t>
      </w:r>
      <w:r w:rsidR="00EA6811">
        <w:rPr>
          <w:kern w:val="16"/>
        </w:rPr>
        <w:t xml:space="preserve">Vorprüfung wird festgestellt, dass besondere örtliche Gegebenheiten am Standort nicht vorliegen. </w:t>
      </w:r>
      <w:r w:rsidR="00596555">
        <w:rPr>
          <w:kern w:val="16"/>
        </w:rPr>
        <w:t xml:space="preserve">Somit ergibt sich keine UVP-Pflicht. </w:t>
      </w:r>
      <w:r w:rsidRPr="001102A9">
        <w:rPr>
          <w:kern w:val="16"/>
        </w:rPr>
        <w:t xml:space="preserve">Nach Durchsicht und Prüfung dieser Voruntersuchung und der sonstigen umweltfachlichen Belange kann </w:t>
      </w:r>
      <w:r w:rsidR="00596555">
        <w:rPr>
          <w:kern w:val="16"/>
        </w:rPr>
        <w:t xml:space="preserve">zudem </w:t>
      </w:r>
      <w:r w:rsidRPr="001102A9">
        <w:rPr>
          <w:kern w:val="16"/>
        </w:rPr>
        <w:t>davon ausgegangen werden, dass das Vorhaben unter Beachtung bestimmter noch im Genehmigungsbescheid zu formulierende</w:t>
      </w:r>
      <w:r w:rsidR="00EA6811">
        <w:rPr>
          <w:kern w:val="16"/>
        </w:rPr>
        <w:t>r Auflagen keine negativen</w:t>
      </w:r>
      <w:r w:rsidRPr="001102A9">
        <w:rPr>
          <w:kern w:val="16"/>
        </w:rPr>
        <w:t xml:space="preserve"> Umweltauswirkungen verursacht.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Die Stellungnahmen der übrigen maßgebenden Fachstellen haben auch keine Anhaltspun</w:t>
      </w:r>
      <w:r w:rsidR="00EA6811">
        <w:rPr>
          <w:kern w:val="16"/>
        </w:rPr>
        <w:t>kte dafür ergeben, dass im Einwirkungsbereich des Vorhabens besondere örtliche Gegebenheiten vorliegen.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b/>
          <w:kern w:val="16"/>
        </w:rPr>
      </w:pPr>
      <w:r w:rsidRPr="001102A9">
        <w:rPr>
          <w:b/>
          <w:kern w:val="16"/>
        </w:rPr>
        <w:t>Die Durchführung einer Umweltverträglichkeitsprüfung ist somit nicht erforderlich.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Die Entscheidung wird gemäß § 5 Abs. 2 UVPG im UVP-Portal Bayern öffentlich bekanntgegeben.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 xml:space="preserve">Landratsamt </w:t>
      </w:r>
      <w:r w:rsidR="00960981">
        <w:rPr>
          <w:kern w:val="16"/>
        </w:rPr>
        <w:t>Dingolfing-Landau, 18.05</w:t>
      </w:r>
      <w:bookmarkStart w:id="0" w:name="_GoBack"/>
      <w:bookmarkEnd w:id="0"/>
      <w:r w:rsidR="00596555">
        <w:rPr>
          <w:kern w:val="16"/>
        </w:rPr>
        <w:t>.2022</w:t>
      </w: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SG 42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kern w:val="16"/>
        </w:rPr>
        <w:t>Kerstin Kameter-Schenkl</w:t>
      </w: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</w:p>
    <w:p w:rsidR="001102A9" w:rsidRPr="001102A9" w:rsidRDefault="001102A9" w:rsidP="001102A9">
      <w:pPr>
        <w:jc w:val="both"/>
        <w:rPr>
          <w:kern w:val="16"/>
        </w:rPr>
      </w:pPr>
      <w:r w:rsidRPr="001102A9">
        <w:rPr>
          <w:b/>
          <w:kern w:val="16"/>
        </w:rPr>
        <w:t>II. Z.A.</w:t>
      </w:r>
    </w:p>
    <w:p w:rsidR="001102A9" w:rsidRPr="001102A9" w:rsidRDefault="001102A9" w:rsidP="001102A9"/>
    <w:p w:rsidR="005E62FC" w:rsidRDefault="005E62FC"/>
    <w:sectPr w:rsidR="005E6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3BA"/>
    <w:multiLevelType w:val="hybridMultilevel"/>
    <w:tmpl w:val="A1E6A326"/>
    <w:lvl w:ilvl="0" w:tplc="0148A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9"/>
    <w:rsid w:val="001102A9"/>
    <w:rsid w:val="00153D1E"/>
    <w:rsid w:val="00482543"/>
    <w:rsid w:val="00596555"/>
    <w:rsid w:val="005E62FC"/>
    <w:rsid w:val="006F1BEB"/>
    <w:rsid w:val="008409C2"/>
    <w:rsid w:val="008D6C06"/>
    <w:rsid w:val="00906DC7"/>
    <w:rsid w:val="00960981"/>
    <w:rsid w:val="00965D72"/>
    <w:rsid w:val="00974BAA"/>
    <w:rsid w:val="0098770C"/>
    <w:rsid w:val="009C1713"/>
    <w:rsid w:val="00AC613F"/>
    <w:rsid w:val="00B12F35"/>
    <w:rsid w:val="00BA50FD"/>
    <w:rsid w:val="00BC7203"/>
    <w:rsid w:val="00C33172"/>
    <w:rsid w:val="00C425D7"/>
    <w:rsid w:val="00DC5506"/>
    <w:rsid w:val="00EA6811"/>
    <w:rsid w:val="00EE6F1E"/>
    <w:rsid w:val="00EE7823"/>
    <w:rsid w:val="00F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62229"/>
  <w15:chartTrackingRefBased/>
  <w15:docId w15:val="{3F418BE0-89CF-4234-83AF-EDC9DAAA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965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9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Kameter-Schenkl Kerstin</dc:creator>
  <cp:keywords/>
  <dc:description/>
  <cp:lastModifiedBy>Kameter-Schenkl Kerstin</cp:lastModifiedBy>
  <cp:revision>4</cp:revision>
  <cp:lastPrinted>2022-03-09T07:36:00Z</cp:lastPrinted>
  <dcterms:created xsi:type="dcterms:W3CDTF">2022-03-08T10:31:00Z</dcterms:created>
  <dcterms:modified xsi:type="dcterms:W3CDTF">2022-05-18T08:46:00Z</dcterms:modified>
</cp:coreProperties>
</file>