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60" w:lineRule="auto"/>
        <w:rPr>
          <w:b/>
          <w:sz w:val="22"/>
          <w:szCs w:val="24"/>
        </w:rPr>
      </w:pPr>
      <w:r>
        <w:rPr>
          <w:b/>
          <w:sz w:val="22"/>
          <w:szCs w:val="24"/>
        </w:rPr>
        <w:t>Vollzug des Kreislaufwirtschaftsgesetzes (</w:t>
      </w:r>
      <w:proofErr w:type="spellStart"/>
      <w:r>
        <w:rPr>
          <w:b/>
          <w:sz w:val="22"/>
          <w:szCs w:val="24"/>
        </w:rPr>
        <w:t>KrWG</w:t>
      </w:r>
      <w:proofErr w:type="spellEnd"/>
      <w:r>
        <w:rPr>
          <w:b/>
          <w:sz w:val="22"/>
          <w:szCs w:val="24"/>
        </w:rPr>
        <w:t>) und der Deponieverordnung (</w:t>
      </w:r>
      <w:proofErr w:type="spellStart"/>
      <w:r>
        <w:rPr>
          <w:b/>
          <w:sz w:val="22"/>
          <w:szCs w:val="24"/>
        </w:rPr>
        <w:t>DepV</w:t>
      </w:r>
      <w:proofErr w:type="spellEnd"/>
      <w:r>
        <w:rPr>
          <w:b/>
          <w:sz w:val="22"/>
          <w:szCs w:val="24"/>
        </w:rPr>
        <w:t>);</w:t>
      </w:r>
    </w:p>
    <w:p>
      <w:pPr>
        <w:spacing w:line="360" w:lineRule="auto"/>
        <w:rPr>
          <w:b/>
          <w:sz w:val="22"/>
          <w:szCs w:val="24"/>
        </w:rPr>
      </w:pPr>
      <w:r>
        <w:rPr>
          <w:b/>
          <w:sz w:val="22"/>
          <w:szCs w:val="24"/>
        </w:rPr>
        <w:t xml:space="preserve">Gemeinde Deining, </w:t>
      </w:r>
      <w:proofErr w:type="spellStart"/>
      <w:r>
        <w:rPr>
          <w:b/>
          <w:sz w:val="22"/>
          <w:szCs w:val="24"/>
        </w:rPr>
        <w:t>Schloßstraße</w:t>
      </w:r>
      <w:proofErr w:type="spellEnd"/>
      <w:r>
        <w:rPr>
          <w:b/>
          <w:sz w:val="22"/>
          <w:szCs w:val="24"/>
        </w:rPr>
        <w:t xml:space="preserve"> 6, 92364 Deining;</w:t>
      </w:r>
    </w:p>
    <w:p>
      <w:pPr>
        <w:spacing w:line="276" w:lineRule="auto"/>
        <w:rPr>
          <w:b/>
          <w:sz w:val="22"/>
          <w:szCs w:val="24"/>
        </w:rPr>
      </w:pPr>
      <w:r>
        <w:rPr>
          <w:b/>
          <w:sz w:val="22"/>
          <w:szCs w:val="24"/>
        </w:rPr>
        <w:t xml:space="preserve">Antrag auf Plangenehmigung für </w:t>
      </w:r>
    </w:p>
    <w:p>
      <w:pPr>
        <w:spacing w:line="276" w:lineRule="auto"/>
        <w:rPr>
          <w:b/>
          <w:sz w:val="22"/>
          <w:szCs w:val="24"/>
        </w:rPr>
      </w:pPr>
      <w:r>
        <w:rPr>
          <w:b/>
          <w:sz w:val="22"/>
          <w:szCs w:val="24"/>
        </w:rPr>
        <w:t>‒</w:t>
      </w:r>
      <w:r>
        <w:rPr>
          <w:b/>
          <w:sz w:val="22"/>
          <w:szCs w:val="24"/>
        </w:rPr>
        <w:t xml:space="preserve"> </w:t>
      </w:r>
      <w:r>
        <w:rPr>
          <w:b/>
          <w:sz w:val="22"/>
          <w:szCs w:val="24"/>
        </w:rPr>
        <w:t xml:space="preserve">die wesentliche Änderung der </w:t>
      </w:r>
      <w:proofErr w:type="spellStart"/>
      <w:r>
        <w:rPr>
          <w:b/>
          <w:sz w:val="22"/>
          <w:szCs w:val="24"/>
        </w:rPr>
        <w:t>Inertabfalldeponie</w:t>
      </w:r>
      <w:proofErr w:type="spellEnd"/>
      <w:r>
        <w:rPr>
          <w:b/>
          <w:sz w:val="22"/>
          <w:szCs w:val="24"/>
        </w:rPr>
        <w:t xml:space="preserve"> (DK0-Deponie) „</w:t>
      </w:r>
      <w:proofErr w:type="spellStart"/>
      <w:r>
        <w:rPr>
          <w:b/>
          <w:sz w:val="22"/>
          <w:szCs w:val="24"/>
        </w:rPr>
        <w:t>Mittersthal</w:t>
      </w:r>
      <w:proofErr w:type="spellEnd"/>
      <w:r>
        <w:rPr>
          <w:b/>
          <w:sz w:val="22"/>
          <w:szCs w:val="24"/>
        </w:rPr>
        <w:t xml:space="preserve">“ auf dem Grundstück mit den </w:t>
      </w:r>
      <w:proofErr w:type="spellStart"/>
      <w:r>
        <w:rPr>
          <w:b/>
          <w:sz w:val="22"/>
          <w:szCs w:val="24"/>
        </w:rPr>
        <w:t>FlNrn</w:t>
      </w:r>
      <w:proofErr w:type="spellEnd"/>
      <w:r>
        <w:rPr>
          <w:b/>
          <w:sz w:val="22"/>
          <w:szCs w:val="24"/>
        </w:rPr>
        <w:t>. 195, 196, 197, 197/1, 199 und 200 der Gemarkung Deining (ordnungsgemäßer Abschluss der stillgelegten Deponie / Rekultivierung)</w:t>
      </w:r>
    </w:p>
    <w:p>
      <w:pPr>
        <w:spacing w:line="276" w:lineRule="auto"/>
        <w:rPr>
          <w:b/>
          <w:sz w:val="22"/>
          <w:szCs w:val="24"/>
        </w:rPr>
      </w:pPr>
      <w:r>
        <w:rPr>
          <w:b/>
          <w:sz w:val="22"/>
          <w:szCs w:val="24"/>
        </w:rPr>
        <w:t>‒</w:t>
      </w:r>
      <w:r>
        <w:rPr>
          <w:b/>
          <w:sz w:val="22"/>
          <w:szCs w:val="24"/>
        </w:rPr>
        <w:t xml:space="preserve"> </w:t>
      </w:r>
      <w:r>
        <w:rPr>
          <w:b/>
          <w:sz w:val="22"/>
          <w:szCs w:val="24"/>
        </w:rPr>
        <w:t xml:space="preserve">die Errichtung und Betrieb einer reinen Erdaushubdeponie auf dem Grundstück mit den </w:t>
      </w:r>
      <w:proofErr w:type="spellStart"/>
      <w:r>
        <w:rPr>
          <w:b/>
          <w:sz w:val="22"/>
          <w:szCs w:val="24"/>
        </w:rPr>
        <w:t>FlNrn</w:t>
      </w:r>
      <w:proofErr w:type="spellEnd"/>
      <w:r>
        <w:rPr>
          <w:b/>
          <w:sz w:val="22"/>
          <w:szCs w:val="24"/>
        </w:rPr>
        <w:t>. 189 (TF), 190 (TF), 191 (TF), 195, 196, 197/1, 200, 201, 202, 203 (TF) der Gemarkung Deining (neue Deponie auf und neben alter Deponie / „Erweiterung“)</w:t>
      </w:r>
    </w:p>
    <w:p>
      <w:pPr>
        <w:spacing w:line="360" w:lineRule="auto"/>
        <w:rPr>
          <w:rFonts w:eastAsia="Times New Roman" w:cs="Times New Roman"/>
          <w:sz w:val="22"/>
          <w:szCs w:val="24"/>
          <w:lang w:eastAsia="de-DE"/>
        </w:rPr>
      </w:pPr>
    </w:p>
    <w:p>
      <w:pPr>
        <w:spacing w:line="360" w:lineRule="auto"/>
        <w:jc w:val="both"/>
        <w:rPr>
          <w:rFonts w:eastAsia="Times New Roman" w:cs="Times New Roman"/>
          <w:sz w:val="22"/>
          <w:szCs w:val="24"/>
          <w:lang w:eastAsia="de-DE"/>
        </w:rPr>
      </w:pPr>
      <w:r>
        <w:rPr>
          <w:rFonts w:eastAsia="Times New Roman" w:cs="Times New Roman"/>
          <w:sz w:val="22"/>
          <w:szCs w:val="24"/>
          <w:lang w:eastAsia="de-DE"/>
        </w:rPr>
        <w:t xml:space="preserve">Für die Errichtung und den Betrieb einer Deponie zur Ablagerung von </w:t>
      </w:r>
      <w:proofErr w:type="spellStart"/>
      <w:r>
        <w:rPr>
          <w:rFonts w:eastAsia="Times New Roman" w:cs="Times New Roman"/>
          <w:sz w:val="22"/>
          <w:szCs w:val="24"/>
          <w:lang w:eastAsia="de-DE"/>
        </w:rPr>
        <w:t>Inertabfällen</w:t>
      </w:r>
      <w:proofErr w:type="spellEnd"/>
      <w:r>
        <w:rPr>
          <w:rFonts w:eastAsia="Times New Roman" w:cs="Times New Roman"/>
          <w:sz w:val="22"/>
          <w:szCs w:val="24"/>
          <w:lang w:eastAsia="de-DE"/>
        </w:rPr>
        <w:t xml:space="preserve"> im Sinne des Kreislaufwirtschaftsgesetzes (Nr. 12.3 der Anlage 1 zum UVPG) ist eine allgemeine Vorprüfung des Einzelfalles im Hinblick auf die in der Anlage 3 zum UVPG aufgeführten Schutzgüter vorgesehen. </w:t>
      </w:r>
    </w:p>
    <w:p>
      <w:pPr>
        <w:spacing w:line="360" w:lineRule="auto"/>
        <w:jc w:val="both"/>
        <w:rPr>
          <w:rFonts w:eastAsia="Times New Roman" w:cs="Times New Roman"/>
          <w:sz w:val="22"/>
          <w:szCs w:val="24"/>
          <w:lang w:eastAsia="de-DE"/>
        </w:rPr>
      </w:pPr>
      <w:r>
        <w:rPr>
          <w:rFonts w:eastAsia="Times New Roman" w:cs="Times New Roman"/>
          <w:sz w:val="22"/>
          <w:szCs w:val="24"/>
          <w:lang w:eastAsia="de-DE"/>
        </w:rPr>
        <w:t>Für das Vorhaben wurde eine allgemeine V</w:t>
      </w:r>
      <w:r>
        <w:rPr>
          <w:rFonts w:eastAsia="Times New Roman" w:cs="Times New Roman"/>
          <w:sz w:val="22"/>
          <w:szCs w:val="24"/>
          <w:lang w:eastAsia="de-DE"/>
        </w:rPr>
        <w:t xml:space="preserve">orprüfung des Einzelfalles nach </w:t>
      </w:r>
      <w:r>
        <w:rPr>
          <w:rFonts w:eastAsia="Times New Roman" w:cs="Times New Roman"/>
          <w:sz w:val="22"/>
          <w:szCs w:val="24"/>
          <w:lang w:eastAsia="de-DE"/>
        </w:rPr>
        <w:t>§ 7 Abs. 1 UVPG in Verbindung mit Nr. 12.3 der Anlage 1 des UVPG durchgeführt.</w:t>
      </w:r>
    </w:p>
    <w:p>
      <w:pPr>
        <w:spacing w:line="360" w:lineRule="auto"/>
        <w:jc w:val="both"/>
        <w:rPr>
          <w:rFonts w:eastAsia="Times New Roman" w:cs="Times New Roman"/>
          <w:sz w:val="22"/>
          <w:szCs w:val="24"/>
          <w:lang w:eastAsia="de-DE"/>
        </w:rPr>
      </w:pPr>
      <w:r>
        <w:rPr>
          <w:rFonts w:eastAsia="Times New Roman" w:cs="Times New Roman"/>
          <w:sz w:val="22"/>
          <w:szCs w:val="24"/>
          <w:lang w:eastAsia="de-DE"/>
        </w:rPr>
        <w:t xml:space="preserve">Bei einem Neuvorhaben, das in Anlage 1 Spalte 2 mit dem Buchstaben „A“ gekennzeichnet ist, ist eine allgemeine Vorprüfung zur Feststellung der UVP-Pflicht durchzuführen. </w:t>
      </w:r>
    </w:p>
    <w:p>
      <w:pPr>
        <w:spacing w:line="360" w:lineRule="auto"/>
        <w:jc w:val="both"/>
        <w:rPr>
          <w:rFonts w:eastAsia="Times New Roman" w:cs="Times New Roman"/>
          <w:sz w:val="22"/>
          <w:szCs w:val="24"/>
          <w:lang w:eastAsia="de-DE"/>
        </w:rPr>
      </w:pPr>
      <w:r>
        <w:rPr>
          <w:rFonts w:eastAsia="Times New Roman" w:cs="Times New Roman"/>
          <w:sz w:val="22"/>
          <w:szCs w:val="24"/>
          <w:lang w:eastAsia="de-DE"/>
        </w:rPr>
        <w:t>Auch bei einer Änderung eines Vorhabens, für das keine Umweltverträglichkeitsprüfung durchgeführt worden ist,</w:t>
      </w:r>
      <w:bookmarkStart w:id="0" w:name="_GoBack"/>
      <w:bookmarkEnd w:id="0"/>
      <w:r>
        <w:rPr>
          <w:rFonts w:eastAsia="Times New Roman" w:cs="Times New Roman"/>
          <w:sz w:val="22"/>
          <w:szCs w:val="24"/>
          <w:lang w:eastAsia="de-DE"/>
        </w:rPr>
        <w:t xml:space="preserve"> wird für das Änderungsvorhaben eine Vorprüfung durchgeführt, wenn für das Vorhaben nach Anlage 1 eine Vorprüfung, aber keine Prüfwerte vorgeschrieben sind (§ 9 Abs. 3 UVPG); § 7 UVPG gilt entsprechend. </w:t>
      </w:r>
      <w:r>
        <w:rPr>
          <w:rFonts w:eastAsia="Times New Roman" w:cs="Times New Roman"/>
          <w:sz w:val="22"/>
          <w:szCs w:val="24"/>
          <w:lang w:eastAsia="de-DE"/>
        </w:rPr>
        <w:t>Die allgemeine Vorprüfung wird als überschlägige Prüfung unter Berücksichtigung der in Anlage 3 aufgeführten Kriterien durchgeführt. Die UVP-Pflicht besteht, wenn das Neuvorhaben</w:t>
      </w:r>
      <w:r>
        <w:rPr>
          <w:rFonts w:eastAsia="Times New Roman" w:cs="Times New Roman"/>
          <w:sz w:val="22"/>
          <w:szCs w:val="24"/>
          <w:lang w:eastAsia="de-DE"/>
        </w:rPr>
        <w:t>/Änderungsvorhaben</w:t>
      </w:r>
      <w:r>
        <w:rPr>
          <w:rFonts w:eastAsia="Times New Roman" w:cs="Times New Roman"/>
          <w:sz w:val="22"/>
          <w:szCs w:val="24"/>
          <w:lang w:eastAsia="de-DE"/>
        </w:rPr>
        <w:t xml:space="preserve"> nach Einschätzung der zuständigen Behörde erhebliche nachteilige Umweltauswirkungen haben kann, die nach § 25 Absatz 2 bei der Zulassungsentscheidung zu berücksichtigen wären.</w:t>
      </w:r>
    </w:p>
    <w:p>
      <w:pPr>
        <w:spacing w:line="360" w:lineRule="auto"/>
        <w:jc w:val="both"/>
        <w:rPr>
          <w:rFonts w:eastAsia="Times New Roman" w:cs="Times New Roman"/>
          <w:sz w:val="22"/>
          <w:szCs w:val="24"/>
          <w:lang w:eastAsia="de-DE"/>
        </w:rPr>
      </w:pPr>
    </w:p>
    <w:p>
      <w:pPr>
        <w:spacing w:line="360" w:lineRule="auto"/>
        <w:jc w:val="both"/>
        <w:rPr>
          <w:rFonts w:eastAsia="Times New Roman" w:cs="Times New Roman"/>
          <w:sz w:val="22"/>
          <w:szCs w:val="24"/>
          <w:lang w:eastAsia="de-DE"/>
        </w:rPr>
      </w:pPr>
      <w:r>
        <w:rPr>
          <w:rFonts w:eastAsia="Times New Roman" w:cs="Times New Roman"/>
          <w:sz w:val="22"/>
          <w:szCs w:val="24"/>
          <w:lang w:eastAsia="de-DE"/>
        </w:rPr>
        <w:t xml:space="preserve">Das Landratsamt Neumarkt </w:t>
      </w:r>
      <w:proofErr w:type="spellStart"/>
      <w:r>
        <w:rPr>
          <w:rFonts w:eastAsia="Times New Roman" w:cs="Times New Roman"/>
          <w:sz w:val="22"/>
          <w:szCs w:val="24"/>
          <w:lang w:eastAsia="de-DE"/>
        </w:rPr>
        <w:t>i.d.OPf</w:t>
      </w:r>
      <w:proofErr w:type="spellEnd"/>
      <w:r>
        <w:rPr>
          <w:rFonts w:eastAsia="Times New Roman" w:cs="Times New Roman"/>
          <w:sz w:val="22"/>
          <w:szCs w:val="24"/>
          <w:lang w:eastAsia="de-DE"/>
        </w:rPr>
        <w:t xml:space="preserve">. hat nach überschlägiger Prüfung des Sachverhaltes und unter Berücksichtigung der im Genehmigungsverfahren bereits vorliegenden Stellungnahmen der Träger öffentlicher Belange und der in den Antragsunterlagen enthaltenen Vorprüfung zur Umweltverträglichkeit festgestellt, dass durch das Vorhaben keine erheblichen nachteiligen Umweltauswirkungen auf die im UVPG genannten Schutzgüter Mensch, Tiere, Pflanzen und die biologische Vielfalt, Fläche, Boden, Wasser, Luft, Klima und Landschaft, kulturelles Erbe und sonstige Sachgüter sowie die Wechselwirkung zwischen den vorgenannten Schutzgütern zu erwarten sind, sofern die Deponie </w:t>
      </w:r>
      <w:proofErr w:type="spellStart"/>
      <w:r>
        <w:rPr>
          <w:rFonts w:eastAsia="Times New Roman" w:cs="Times New Roman"/>
          <w:sz w:val="22"/>
          <w:szCs w:val="24"/>
          <w:lang w:eastAsia="de-DE"/>
        </w:rPr>
        <w:t>bescheidsgemäß</w:t>
      </w:r>
      <w:proofErr w:type="spellEnd"/>
      <w:r>
        <w:rPr>
          <w:rFonts w:eastAsia="Times New Roman" w:cs="Times New Roman"/>
          <w:sz w:val="22"/>
          <w:szCs w:val="24"/>
          <w:lang w:eastAsia="de-DE"/>
        </w:rPr>
        <w:t xml:space="preserve"> </w:t>
      </w:r>
      <w:r>
        <w:rPr>
          <w:rFonts w:eastAsia="Times New Roman" w:cs="Times New Roman"/>
          <w:sz w:val="22"/>
          <w:szCs w:val="24"/>
          <w:lang w:eastAsia="de-DE"/>
        </w:rPr>
        <w:t xml:space="preserve">errichtet und </w:t>
      </w:r>
      <w:r>
        <w:rPr>
          <w:rFonts w:eastAsia="Times New Roman" w:cs="Times New Roman"/>
          <w:sz w:val="22"/>
          <w:szCs w:val="24"/>
          <w:lang w:eastAsia="de-DE"/>
        </w:rPr>
        <w:t>betrieben wird.</w:t>
      </w:r>
    </w:p>
    <w:p>
      <w:pPr>
        <w:spacing w:line="360" w:lineRule="auto"/>
        <w:jc w:val="both"/>
        <w:rPr>
          <w:rFonts w:eastAsia="Times New Roman" w:cs="Times New Roman"/>
          <w:sz w:val="22"/>
          <w:szCs w:val="24"/>
          <w:lang w:eastAsia="de-DE"/>
        </w:rPr>
      </w:pPr>
      <w:r>
        <w:rPr>
          <w:rFonts w:eastAsia="Times New Roman" w:cs="Times New Roman"/>
          <w:sz w:val="22"/>
          <w:szCs w:val="24"/>
          <w:lang w:eastAsia="de-DE"/>
        </w:rPr>
        <w:t>Für das Vorhaben besteht somit gem. § 7 Abs. 1 S. 3 UVPG keine Verpflichtung zur Durchführung einer</w:t>
      </w:r>
      <w:r>
        <w:rPr>
          <w:rFonts w:eastAsia="Times New Roman" w:cs="Times New Roman"/>
          <w:sz w:val="22"/>
          <w:szCs w:val="24"/>
          <w:lang w:eastAsia="de-DE"/>
        </w:rPr>
        <w:t xml:space="preserve"> Umweltverträglichkeitsprüfung.</w:t>
      </w:r>
    </w:p>
    <w:p>
      <w:pPr>
        <w:rPr>
          <w:sz w:val="22"/>
        </w:rPr>
      </w:pPr>
    </w:p>
    <w:p>
      <w:pPr>
        <w:rPr>
          <w:sz w:val="22"/>
        </w:rPr>
      </w:pPr>
      <w:r>
        <w:rPr>
          <w:sz w:val="22"/>
        </w:rPr>
        <w:t>Techn. Umweltschutz/Staatl. Abfallrecht</w:t>
      </w:r>
    </w:p>
    <w:p>
      <w:pPr>
        <w:rPr>
          <w:sz w:val="22"/>
        </w:rPr>
      </w:pPr>
      <w:r>
        <w:rPr>
          <w:sz w:val="22"/>
        </w:rPr>
        <w:t>Landratsamt Neumarkt i.d.OPf.</w:t>
      </w:r>
    </w:p>
    <w:p>
      <w:pPr>
        <w:rPr>
          <w:sz w:val="22"/>
        </w:rPr>
      </w:pPr>
    </w:p>
    <w:p>
      <w:pPr>
        <w:rPr>
          <w:sz w:val="22"/>
        </w:rPr>
      </w:pPr>
    </w:p>
    <w:p>
      <w:pPr>
        <w:rPr>
          <w:sz w:val="22"/>
        </w:rPr>
      </w:pPr>
      <w:r>
        <w:rPr>
          <w:sz w:val="22"/>
        </w:rPr>
        <w:t>Oelfe</w:t>
      </w:r>
    </w:p>
    <w:p>
      <w:pPr>
        <w:rPr>
          <w:sz w:val="22"/>
        </w:rPr>
      </w:pPr>
    </w:p>
    <w:p>
      <w:pPr>
        <w:rPr>
          <w:sz w:val="22"/>
        </w:rPr>
      </w:pPr>
      <w:r>
        <w:rPr>
          <w:sz w:val="22"/>
        </w:rPr>
        <w:t>Neumarkt, den 08.04.2021</w:t>
      </w:r>
    </w:p>
    <w:p>
      <w:pPr>
        <w:rPr>
          <w:sz w:val="22"/>
        </w:rPr>
      </w:pP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F4D15"/>
    <w:multiLevelType w:val="hybridMultilevel"/>
    <w:tmpl w:val="EA6CE04A"/>
    <w:lvl w:ilvl="0" w:tplc="EC58A06A">
      <w:start w:val="1"/>
      <w:numFmt w:val="bullet"/>
      <w:lvlText w:val="▫"/>
      <w:lvlJc w:val="left"/>
      <w:pPr>
        <w:ind w:left="2562" w:hanging="360"/>
      </w:pPr>
      <w:rPr>
        <w:rFonts w:ascii="Arial" w:hAnsi="Arial" w:hint="default"/>
      </w:rPr>
    </w:lvl>
    <w:lvl w:ilvl="1" w:tplc="04070003" w:tentative="1">
      <w:start w:val="1"/>
      <w:numFmt w:val="bullet"/>
      <w:lvlText w:val="o"/>
      <w:lvlJc w:val="left"/>
      <w:pPr>
        <w:ind w:left="3282" w:hanging="360"/>
      </w:pPr>
      <w:rPr>
        <w:rFonts w:ascii="Courier New" w:hAnsi="Courier New" w:cs="Courier New" w:hint="default"/>
      </w:rPr>
    </w:lvl>
    <w:lvl w:ilvl="2" w:tplc="04070005" w:tentative="1">
      <w:start w:val="1"/>
      <w:numFmt w:val="bullet"/>
      <w:lvlText w:val=""/>
      <w:lvlJc w:val="left"/>
      <w:pPr>
        <w:ind w:left="4002" w:hanging="360"/>
      </w:pPr>
      <w:rPr>
        <w:rFonts w:ascii="Wingdings" w:hAnsi="Wingdings" w:hint="default"/>
      </w:rPr>
    </w:lvl>
    <w:lvl w:ilvl="3" w:tplc="04070001" w:tentative="1">
      <w:start w:val="1"/>
      <w:numFmt w:val="bullet"/>
      <w:lvlText w:val=""/>
      <w:lvlJc w:val="left"/>
      <w:pPr>
        <w:ind w:left="4722" w:hanging="360"/>
      </w:pPr>
      <w:rPr>
        <w:rFonts w:ascii="Symbol" w:hAnsi="Symbol" w:hint="default"/>
      </w:rPr>
    </w:lvl>
    <w:lvl w:ilvl="4" w:tplc="04070003" w:tentative="1">
      <w:start w:val="1"/>
      <w:numFmt w:val="bullet"/>
      <w:lvlText w:val="o"/>
      <w:lvlJc w:val="left"/>
      <w:pPr>
        <w:ind w:left="5442" w:hanging="360"/>
      </w:pPr>
      <w:rPr>
        <w:rFonts w:ascii="Courier New" w:hAnsi="Courier New" w:cs="Courier New" w:hint="default"/>
      </w:rPr>
    </w:lvl>
    <w:lvl w:ilvl="5" w:tplc="04070005" w:tentative="1">
      <w:start w:val="1"/>
      <w:numFmt w:val="bullet"/>
      <w:lvlText w:val=""/>
      <w:lvlJc w:val="left"/>
      <w:pPr>
        <w:ind w:left="6162" w:hanging="360"/>
      </w:pPr>
      <w:rPr>
        <w:rFonts w:ascii="Wingdings" w:hAnsi="Wingdings" w:hint="default"/>
      </w:rPr>
    </w:lvl>
    <w:lvl w:ilvl="6" w:tplc="04070001" w:tentative="1">
      <w:start w:val="1"/>
      <w:numFmt w:val="bullet"/>
      <w:lvlText w:val=""/>
      <w:lvlJc w:val="left"/>
      <w:pPr>
        <w:ind w:left="6882" w:hanging="360"/>
      </w:pPr>
      <w:rPr>
        <w:rFonts w:ascii="Symbol" w:hAnsi="Symbol" w:hint="default"/>
      </w:rPr>
    </w:lvl>
    <w:lvl w:ilvl="7" w:tplc="04070003" w:tentative="1">
      <w:start w:val="1"/>
      <w:numFmt w:val="bullet"/>
      <w:lvlText w:val="o"/>
      <w:lvlJc w:val="left"/>
      <w:pPr>
        <w:ind w:left="7602" w:hanging="360"/>
      </w:pPr>
      <w:rPr>
        <w:rFonts w:ascii="Courier New" w:hAnsi="Courier New" w:cs="Courier New" w:hint="default"/>
      </w:rPr>
    </w:lvl>
    <w:lvl w:ilvl="8" w:tplc="04070005" w:tentative="1">
      <w:start w:val="1"/>
      <w:numFmt w:val="bullet"/>
      <w:lvlText w:val=""/>
      <w:lvlJc w:val="left"/>
      <w:pPr>
        <w:ind w:left="832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AC42E3-15D4-4A81-94EA-018B3C36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2493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UMW4</dc:creator>
  <cp:lastModifiedBy>Oelfe Milena</cp:lastModifiedBy>
  <cp:revision>6</cp:revision>
  <dcterms:created xsi:type="dcterms:W3CDTF">2021-04-08T11:39:00Z</dcterms:created>
  <dcterms:modified xsi:type="dcterms:W3CDTF">2021-04-08T12:13:00Z</dcterms:modified>
</cp:coreProperties>
</file>