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E5B" w:rsidRDefault="001D5E5B" w:rsidP="001D5E5B">
      <w:r w:rsidRPr="0073301E">
        <w:t xml:space="preserve">Az. </w:t>
      </w:r>
      <w:r>
        <w:t>42-170/3/2 – 320.1</w:t>
      </w:r>
    </w:p>
    <w:p w:rsidR="001D5E5B" w:rsidRDefault="001D5E5B" w:rsidP="001D5E5B"/>
    <w:p w:rsidR="001D5E5B" w:rsidRPr="00FA279C" w:rsidRDefault="001D5E5B" w:rsidP="001D5E5B">
      <w:r w:rsidRPr="00FA279C">
        <w:t>Bundesimmissionsschutzgesetz;</w:t>
      </w:r>
    </w:p>
    <w:p w:rsidR="001D5E5B" w:rsidRPr="00FA279C" w:rsidRDefault="001D5E5B" w:rsidP="001D5E5B">
      <w:r w:rsidRPr="00FA279C">
        <w:t xml:space="preserve">Änderung der Anlage zur zeitweiligen Lagerung von Eisen-oder Nichteisenschrotten einschließlich Autowracks und nicht gefährlichen Abfällen auf den Grundstücken </w:t>
      </w:r>
      <w:proofErr w:type="spellStart"/>
      <w:r w:rsidRPr="00FA279C">
        <w:t>FlNrn</w:t>
      </w:r>
      <w:proofErr w:type="spellEnd"/>
      <w:r w:rsidRPr="00FA279C">
        <w:t>. 3177/7 und 3177/8 der Gemarkung Di</w:t>
      </w:r>
      <w:r w:rsidR="00EB0A90">
        <w:t>ngolfing durch die Fa. Scholz Recycling GmbH</w:t>
      </w:r>
    </w:p>
    <w:p w:rsidR="001D5E5B" w:rsidRPr="00FA279C" w:rsidRDefault="001D5E5B" w:rsidP="001D5E5B">
      <w:pPr>
        <w:rPr>
          <w:b/>
        </w:rPr>
      </w:pPr>
      <w:r w:rsidRPr="00FA279C">
        <w:rPr>
          <w:b/>
        </w:rPr>
        <w:t>HIER: Erweiterung West</w:t>
      </w:r>
    </w:p>
    <w:p w:rsidR="001D5E5B" w:rsidRPr="00FA279C" w:rsidRDefault="001D5E5B" w:rsidP="001D5E5B"/>
    <w:p w:rsidR="001D5E5B" w:rsidRPr="0073301E" w:rsidRDefault="001D5E5B" w:rsidP="001D5E5B"/>
    <w:p w:rsidR="001D5E5B" w:rsidRPr="0073301E" w:rsidRDefault="001D5E5B" w:rsidP="001D5E5B">
      <w:pPr>
        <w:numPr>
          <w:ilvl w:val="0"/>
          <w:numId w:val="1"/>
        </w:numPr>
        <w:rPr>
          <w:b/>
        </w:rPr>
      </w:pPr>
      <w:r w:rsidRPr="0073301E">
        <w:rPr>
          <w:b/>
        </w:rPr>
        <w:t>Aktenvermerk</w:t>
      </w:r>
      <w:r w:rsidRPr="0073301E">
        <w:rPr>
          <w:b/>
        </w:rPr>
        <w:br/>
      </w:r>
    </w:p>
    <w:p w:rsidR="001D5E5B" w:rsidRPr="00FA279C" w:rsidRDefault="001D5E5B" w:rsidP="001D5E5B">
      <w:r w:rsidRPr="00FA279C">
        <w:t>Der Betrieb der Scholz Recycling GmbH basiert im Wesentlichen auf dem immissionsschutzrechtlichen Genehmigungsbescheid des Landratsamtes Dingolfing vom 27.02.2007. Änderungen wurden durch verschiedene Anzeigen nach § 15 gewürdigt (mobile Schrottschere, Einsatz einer mobilen Containerschere).</w:t>
      </w:r>
    </w:p>
    <w:p w:rsidR="001D5E5B" w:rsidRPr="00FA279C" w:rsidRDefault="001D5E5B" w:rsidP="001D5E5B">
      <w:r w:rsidRPr="00FA279C">
        <w:t xml:space="preserve">Durch die Scholz Recycling GmbH erfolgt insbesondere die Aufbereitung und Verwertung metallhaltiger Abfälle der unmittelbar im Norden angrenzenden BMW AG. Aufgrund steigender Verwertungsanforderungen und - ziele bei BMW erhöht sich der zeitlich konzentrierte Verschrottungsbedarf stetig. </w:t>
      </w:r>
      <w:bookmarkStart w:id="0" w:name="_GoBack"/>
      <w:bookmarkEnd w:id="0"/>
      <w:r>
        <w:br/>
      </w:r>
    </w:p>
    <w:p w:rsidR="001D5E5B" w:rsidRDefault="001D5E5B" w:rsidP="001D5E5B">
      <w:r w:rsidRPr="00FA279C">
        <w:t>Um dieser Situation gerecht zu werden und zudem eine höhere Anlagenflexibilität zu erreichen, soll in westlicher Richtung eine Erweiterungsfläche zum Lagern und Umschlagen von trockenen, nicht behafteten Schrotten sowie zum Abstellen von Leercontainern und betriebseigenen LKW errichtet werden. Bei den Schrotten soll es sich insbesondere um Flurfördergestelle der BMW AG handeln, die dort zwischengelagert werden. Zudem soll eine Parkfläche für Fahrzeuge v</w:t>
      </w:r>
      <w:r>
        <w:t>on Mitarbeitern und Besuchern an</w:t>
      </w:r>
      <w:r w:rsidRPr="00FA279C">
        <w:t>gelegt werden.</w:t>
      </w:r>
    </w:p>
    <w:p w:rsidR="001D5E5B" w:rsidRDefault="001D5E5B" w:rsidP="001D5E5B">
      <w:pPr>
        <w:pStyle w:val="Aufzhlungszeichen"/>
      </w:pPr>
      <w:r>
        <w:t xml:space="preserve">Das zusätzliche Geländeareal auf </w:t>
      </w:r>
      <w:proofErr w:type="spellStart"/>
      <w:r>
        <w:t>Fl.Nr</w:t>
      </w:r>
      <w:proofErr w:type="spellEnd"/>
      <w:r>
        <w:t>. 3177/7 der Gemarkung Dingolfing umfasst insgesamt 7204 m</w:t>
      </w:r>
      <w:r>
        <w:rPr>
          <w:vertAlign w:val="superscript"/>
        </w:rPr>
        <w:t>2</w:t>
      </w:r>
      <w:r>
        <w:t xml:space="preserve">, wovon circa 3900 </w:t>
      </w:r>
      <w:r w:rsidRPr="00DA49D4">
        <w:t>m</w:t>
      </w:r>
      <w:r>
        <w:rPr>
          <w:vertAlign w:val="superscript"/>
        </w:rPr>
        <w:t>2</w:t>
      </w:r>
      <w:r>
        <w:t xml:space="preserve"> aktuell genutzt werden sollen. Wie bei der Genehmigung 2010 dient die Erweiterungsfläche in erster Linie zum Umschlagen und Abstellen von trockenen, nicht behafteten Schrotten (insbesondere Flurfördergestelle der Fa. BMW – Genehmigungserfordernis nach Nr. 8.12.3.2 V der 4. BImSchV) sowie zum Abstellen von Leercontainern und betriebseigenen LKW (ca. 3300 m</w:t>
      </w:r>
      <w:r>
        <w:rPr>
          <w:vertAlign w:val="superscript"/>
        </w:rPr>
        <w:t>2</w:t>
      </w:r>
      <w:r>
        <w:t xml:space="preserve">). </w:t>
      </w:r>
    </w:p>
    <w:p w:rsidR="001D5E5B" w:rsidRDefault="001D5E5B" w:rsidP="001D5E5B">
      <w:pPr>
        <w:pStyle w:val="Aufzhlungszeichen"/>
      </w:pPr>
      <w:r>
        <w:t xml:space="preserve">Darüber hinaus sind 22 </w:t>
      </w:r>
      <w:proofErr w:type="spellStart"/>
      <w:r>
        <w:t>PkW</w:t>
      </w:r>
      <w:proofErr w:type="spellEnd"/>
      <w:r>
        <w:t>- Stellplätze für Mitarbeiter und Besucher an der Nordostseite vorgesehen (ca. 600 m</w:t>
      </w:r>
      <w:r>
        <w:rPr>
          <w:vertAlign w:val="superscript"/>
        </w:rPr>
        <w:t>2</w:t>
      </w:r>
      <w:r>
        <w:t>).</w:t>
      </w:r>
    </w:p>
    <w:p w:rsidR="001D5E5B" w:rsidRDefault="001D5E5B" w:rsidP="001D5E5B">
      <w:pPr>
        <w:pStyle w:val="Aufzhlungszeichen"/>
      </w:pPr>
    </w:p>
    <w:p w:rsidR="001D5E5B" w:rsidRPr="0073301E" w:rsidRDefault="001D5E5B" w:rsidP="001D5E5B">
      <w:r>
        <w:t>Im Rahmen des Genehmigungsverfahren</w:t>
      </w:r>
      <w:r w:rsidR="0039326A">
        <w:t xml:space="preserve">s ist eine standortbezogene </w:t>
      </w:r>
      <w:r>
        <w:t>Vorprüfung des Einzelfalles durchzufü</w:t>
      </w:r>
      <w:r w:rsidR="0098797F">
        <w:t>hren</w:t>
      </w:r>
      <w:r>
        <w:t>.</w:t>
      </w:r>
      <w:r w:rsidR="0039326A">
        <w:t xml:space="preserve"> Der Betrachtungsradius wurde auf 1 km festgelegt.</w:t>
      </w:r>
    </w:p>
    <w:p w:rsidR="001D5E5B" w:rsidRPr="0073301E" w:rsidRDefault="001D5E5B" w:rsidP="001D5E5B">
      <w:pPr>
        <w:pStyle w:val="Kopfzeile"/>
        <w:rPr>
          <w:szCs w:val="24"/>
        </w:rPr>
      </w:pPr>
    </w:p>
    <w:p w:rsidR="0098797F" w:rsidRPr="00FA279C" w:rsidRDefault="0098797F" w:rsidP="0098797F">
      <w:pPr>
        <w:jc w:val="both"/>
        <w:rPr>
          <w:kern w:val="16"/>
        </w:rPr>
      </w:pPr>
      <w:r w:rsidRPr="00FA279C">
        <w:rPr>
          <w:kern w:val="16"/>
        </w:rPr>
        <w:t>Gemäß § 9 Absatz 2 Nr. 2,  Abs. 4 UVPG und Ziffer 8.7.</w:t>
      </w:r>
      <w:r w:rsidR="0039326A">
        <w:rPr>
          <w:kern w:val="16"/>
        </w:rPr>
        <w:t>1.</w:t>
      </w:r>
      <w:r w:rsidRPr="00FA279C">
        <w:rPr>
          <w:kern w:val="16"/>
        </w:rPr>
        <w:t xml:space="preserve">2  der Anlage 1 zum UVPG besteht für ein Änderungsvorhaben, für das bisher keine Umweltverträglichkeitsprüfung durchgeführt worden ist, die UVP-Pflicht, wenn das geänderte Vorhaben einen in Anlage 1 angegebenen </w:t>
      </w:r>
      <w:proofErr w:type="spellStart"/>
      <w:r w:rsidRPr="00FA279C">
        <w:rPr>
          <w:kern w:val="16"/>
        </w:rPr>
        <w:t>Prüfwert</w:t>
      </w:r>
      <w:proofErr w:type="spellEnd"/>
      <w:r w:rsidRPr="00FA279C">
        <w:rPr>
          <w:kern w:val="16"/>
        </w:rPr>
        <w:t xml:space="preserve"> für die Vorprüfung erstmals oder erneut erreicht oder überschreitet und eine Vorprüfung ergibt, dass die Änderung erhebliche nachteilige Umweltauswirkungen hervorrufen kann, die nach § 25 Abs. 2 bei der Zulassungsentscheidung zu berücksichtigen wären.</w:t>
      </w:r>
    </w:p>
    <w:p w:rsidR="0098797F" w:rsidRPr="00FA279C" w:rsidRDefault="0098797F" w:rsidP="0098797F">
      <w:pPr>
        <w:jc w:val="both"/>
        <w:rPr>
          <w:kern w:val="16"/>
        </w:rPr>
      </w:pPr>
    </w:p>
    <w:p w:rsidR="0098797F" w:rsidRPr="00FA279C" w:rsidRDefault="0098797F" w:rsidP="0098797F">
      <w:pPr>
        <w:jc w:val="both"/>
        <w:rPr>
          <w:kern w:val="16"/>
        </w:rPr>
      </w:pPr>
      <w:r w:rsidRPr="00FA279C">
        <w:rPr>
          <w:kern w:val="16"/>
        </w:rPr>
        <w:t xml:space="preserve">Die Gesamtanlage (das geänderte Vorhaben) überschreitet durch die immissionsschutzrechtlich relevante wesentliche Änderung (Flächenerweiterung und Betrieb einer Anlage nach Ziffer 8.12.3.2 der 4. BImSchV auf der Erweiterungsfläche) erneut den </w:t>
      </w:r>
      <w:proofErr w:type="spellStart"/>
      <w:r w:rsidRPr="00FA279C">
        <w:rPr>
          <w:kern w:val="16"/>
        </w:rPr>
        <w:t>Prüfwert</w:t>
      </w:r>
      <w:proofErr w:type="spellEnd"/>
      <w:r w:rsidRPr="00FA279C">
        <w:rPr>
          <w:kern w:val="16"/>
        </w:rPr>
        <w:t xml:space="preserve"> nach Ziffer 8.7.</w:t>
      </w:r>
      <w:r w:rsidR="0039326A">
        <w:rPr>
          <w:kern w:val="16"/>
        </w:rPr>
        <w:t>1.</w:t>
      </w:r>
      <w:r w:rsidRPr="00FA279C">
        <w:rPr>
          <w:kern w:val="16"/>
        </w:rPr>
        <w:t xml:space="preserve">2 der Anlage 1 zum UVPG. Es war somit eine </w:t>
      </w:r>
      <w:r w:rsidRPr="00FA279C">
        <w:rPr>
          <w:kern w:val="16"/>
          <w:u w:val="single"/>
        </w:rPr>
        <w:t>standortbezogene</w:t>
      </w:r>
      <w:r w:rsidRPr="00FA279C">
        <w:rPr>
          <w:kern w:val="16"/>
        </w:rPr>
        <w:t xml:space="preserve"> Vorprüfung im Rahmen dieser Beantragung durchzuführen.</w:t>
      </w:r>
    </w:p>
    <w:p w:rsidR="0098797F" w:rsidRPr="00FA279C" w:rsidRDefault="0098797F" w:rsidP="0098797F">
      <w:pPr>
        <w:pStyle w:val="Kopfzeile"/>
        <w:widowControl w:val="0"/>
        <w:tabs>
          <w:tab w:val="clear" w:pos="4536"/>
          <w:tab w:val="clear" w:pos="9072"/>
        </w:tabs>
        <w:rPr>
          <w:szCs w:val="24"/>
        </w:rPr>
      </w:pPr>
      <w:r w:rsidRPr="00FA279C">
        <w:rPr>
          <w:kern w:val="16"/>
          <w:szCs w:val="24"/>
        </w:rPr>
        <w:t xml:space="preserve">Gemäß § 7 Abs. 2 UVPG sowie Ziffer 8.7.2 der Anlage 1 zum UVPG ist im Rahmen der </w:t>
      </w:r>
      <w:r w:rsidRPr="00FA279C">
        <w:rPr>
          <w:kern w:val="16"/>
          <w:szCs w:val="24"/>
        </w:rPr>
        <w:lastRenderedPageBreak/>
        <w:t>standortbezogenen Vorprüfung des Einzelfalles (überschlägige Prüfung) im ersten Schritt unter Berücksichtigung der in Anlage 3 Nummer 2.3 zum UVPG aufgeführten Schutzkriterien festzustellen, ob bei dem Vorhaben besondere örtliche Gegebenheiten vorliegen. Ist dies der Fall, prüft die Behörde im zweiten Schritt unter Berücksichtigung der in Anlage 3 aufgeführten Kriterien, ob das Vorhaben erhebliche nachteilige Umweltauswirkungen haben kann, die die besondere Empfindlichkeit oder die Schutzziele des Gebietes betreffen und deshalb die Verpflichtung zur Durchführung einer förmlichen Umweltverträglichkeitsprüfung nach den Vorschriften des UVPG besteht.</w:t>
      </w:r>
    </w:p>
    <w:p w:rsidR="0098797F" w:rsidRPr="00FA279C" w:rsidRDefault="0098797F" w:rsidP="0098797F">
      <w:pPr>
        <w:pStyle w:val="Kopfzeile"/>
        <w:widowControl w:val="0"/>
        <w:tabs>
          <w:tab w:val="clear" w:pos="4536"/>
          <w:tab w:val="clear" w:pos="9072"/>
        </w:tabs>
        <w:rPr>
          <w:szCs w:val="24"/>
        </w:rPr>
      </w:pPr>
      <w:r w:rsidRPr="00FA279C">
        <w:rPr>
          <w:szCs w:val="24"/>
        </w:rPr>
        <w:t>Die Vorprüfung hat ergeben, dass empfindliche Gebiete gemäß Ziffer 2.3 der Anlage zum UVPG im Betrachtungsradius entweder nicht vorlagen oder die Auswirkungen aufgrund der Entfernung der Anlage und der Art der potentiellen Auswirkungsmöglichkeiten der Anlage eine Einwirkung auf die empfindlichen Gebiete (im Fall mehrerer vorhandener Biotope</w:t>
      </w:r>
      <w:r w:rsidR="004C4113">
        <w:rPr>
          <w:szCs w:val="24"/>
        </w:rPr>
        <w:t>, eines Landschaftsschutzgebietes</w:t>
      </w:r>
      <w:r w:rsidRPr="00FA279C">
        <w:rPr>
          <w:szCs w:val="24"/>
        </w:rPr>
        <w:t>) ausgeschlossen sind.</w:t>
      </w:r>
    </w:p>
    <w:p w:rsidR="0098797F" w:rsidRPr="00FA279C" w:rsidRDefault="0098797F" w:rsidP="0098797F">
      <w:pPr>
        <w:pStyle w:val="Kopfzeile"/>
        <w:widowControl w:val="0"/>
        <w:tabs>
          <w:tab w:val="clear" w:pos="4536"/>
          <w:tab w:val="clear" w:pos="9072"/>
        </w:tabs>
        <w:rPr>
          <w:szCs w:val="24"/>
        </w:rPr>
      </w:pPr>
    </w:p>
    <w:p w:rsidR="001D5E5B" w:rsidRPr="0073301E" w:rsidRDefault="001D5E5B" w:rsidP="001D5E5B">
      <w:pPr>
        <w:jc w:val="both"/>
        <w:rPr>
          <w:kern w:val="16"/>
        </w:rPr>
      </w:pPr>
    </w:p>
    <w:p w:rsidR="001D5E5B" w:rsidRDefault="001D5E5B" w:rsidP="001D5E5B">
      <w:pPr>
        <w:jc w:val="both"/>
        <w:rPr>
          <w:kern w:val="16"/>
        </w:rPr>
      </w:pPr>
      <w:r w:rsidRPr="0073301E">
        <w:rPr>
          <w:kern w:val="16"/>
        </w:rPr>
        <w:t xml:space="preserve">Die Stellungnahmen der übrigen maßgebenden Fachstellen haben </w:t>
      </w:r>
      <w:r>
        <w:rPr>
          <w:kern w:val="16"/>
        </w:rPr>
        <w:t xml:space="preserve">auch </w:t>
      </w:r>
      <w:r w:rsidRPr="0073301E">
        <w:rPr>
          <w:kern w:val="16"/>
        </w:rPr>
        <w:t>keine Anhaltspun</w:t>
      </w:r>
      <w:r>
        <w:rPr>
          <w:kern w:val="16"/>
        </w:rPr>
        <w:t xml:space="preserve">kte dafür ergeben, dass durch das Vorhaben </w:t>
      </w:r>
      <w:r w:rsidRPr="0073301E">
        <w:rPr>
          <w:kern w:val="16"/>
        </w:rPr>
        <w:t>erheblich nachteilig</w:t>
      </w:r>
      <w:r>
        <w:rPr>
          <w:kern w:val="16"/>
        </w:rPr>
        <w:t>e hervorgerufen werden können</w:t>
      </w:r>
    </w:p>
    <w:p w:rsidR="001D5E5B" w:rsidRDefault="001D5E5B" w:rsidP="001D5E5B">
      <w:pPr>
        <w:jc w:val="both"/>
        <w:rPr>
          <w:kern w:val="16"/>
        </w:rPr>
      </w:pPr>
    </w:p>
    <w:p w:rsidR="001D5E5B" w:rsidRPr="00442ABC" w:rsidRDefault="001D5E5B" w:rsidP="001D5E5B">
      <w:pPr>
        <w:jc w:val="both"/>
        <w:rPr>
          <w:b/>
          <w:kern w:val="16"/>
        </w:rPr>
      </w:pPr>
      <w:r w:rsidRPr="00442ABC">
        <w:rPr>
          <w:b/>
          <w:kern w:val="16"/>
        </w:rPr>
        <w:t>Die Durchführung einer Umweltverträglichkeitsprüfung ist somit nicht erforderlich.</w:t>
      </w:r>
    </w:p>
    <w:p w:rsidR="001D5E5B" w:rsidRDefault="001D5E5B" w:rsidP="001D5E5B">
      <w:pPr>
        <w:jc w:val="both"/>
        <w:rPr>
          <w:kern w:val="16"/>
        </w:rPr>
      </w:pPr>
    </w:p>
    <w:p w:rsidR="001D5E5B" w:rsidRDefault="001D5E5B" w:rsidP="001D5E5B">
      <w:pPr>
        <w:jc w:val="both"/>
        <w:rPr>
          <w:kern w:val="16"/>
        </w:rPr>
      </w:pPr>
    </w:p>
    <w:p w:rsidR="001D5E5B" w:rsidRPr="0073301E" w:rsidRDefault="001D5E5B" w:rsidP="001D5E5B">
      <w:pPr>
        <w:jc w:val="both"/>
        <w:rPr>
          <w:kern w:val="16"/>
        </w:rPr>
      </w:pPr>
    </w:p>
    <w:p w:rsidR="001D5E5B" w:rsidRPr="0073301E" w:rsidRDefault="001D5E5B" w:rsidP="001D5E5B">
      <w:pPr>
        <w:jc w:val="both"/>
        <w:rPr>
          <w:kern w:val="16"/>
        </w:rPr>
      </w:pPr>
      <w:r w:rsidRPr="0073301E">
        <w:rPr>
          <w:kern w:val="16"/>
        </w:rPr>
        <w:t>Die Entscheidung wird g</w:t>
      </w:r>
      <w:r>
        <w:rPr>
          <w:kern w:val="16"/>
        </w:rPr>
        <w:t>emäß § 5 Abs. 2 UVPG im UVP-Portal Bayern</w:t>
      </w:r>
      <w:r w:rsidRPr="0073301E">
        <w:rPr>
          <w:kern w:val="16"/>
        </w:rPr>
        <w:t xml:space="preserve"> öffentlich bekanntgegeben.</w:t>
      </w:r>
    </w:p>
    <w:p w:rsidR="001D5E5B" w:rsidRDefault="001D5E5B" w:rsidP="001D5E5B">
      <w:pPr>
        <w:pStyle w:val="Textkrper"/>
        <w:jc w:val="both"/>
        <w:rPr>
          <w:rFonts w:ascii="Times New Roman" w:hAnsi="Times New Roman"/>
          <w:sz w:val="24"/>
          <w:szCs w:val="24"/>
        </w:rPr>
      </w:pPr>
    </w:p>
    <w:p w:rsidR="001D5E5B" w:rsidRDefault="001D5E5B" w:rsidP="001D5E5B">
      <w:pPr>
        <w:pStyle w:val="Textkrper"/>
        <w:jc w:val="both"/>
        <w:rPr>
          <w:rFonts w:ascii="Times New Roman" w:hAnsi="Times New Roman"/>
          <w:sz w:val="24"/>
          <w:szCs w:val="24"/>
        </w:rPr>
      </w:pPr>
    </w:p>
    <w:p w:rsidR="001D5E5B" w:rsidRPr="0073301E" w:rsidRDefault="001D5E5B" w:rsidP="001D5E5B">
      <w:pPr>
        <w:pStyle w:val="Textkrper"/>
        <w:jc w:val="both"/>
        <w:rPr>
          <w:rFonts w:ascii="Times New Roman" w:hAnsi="Times New Roman"/>
          <w:sz w:val="24"/>
          <w:szCs w:val="24"/>
        </w:rPr>
      </w:pPr>
    </w:p>
    <w:p w:rsidR="001D5E5B" w:rsidRPr="0073301E" w:rsidRDefault="001D5E5B" w:rsidP="001D5E5B">
      <w:pPr>
        <w:pStyle w:val="Textkrper"/>
        <w:jc w:val="both"/>
        <w:rPr>
          <w:rFonts w:ascii="Times New Roman" w:hAnsi="Times New Roman"/>
          <w:sz w:val="24"/>
          <w:szCs w:val="24"/>
        </w:rPr>
      </w:pPr>
    </w:p>
    <w:p w:rsidR="001D5E5B" w:rsidRPr="0073301E" w:rsidRDefault="001D5E5B" w:rsidP="001D5E5B">
      <w:pPr>
        <w:pStyle w:val="Textkrper"/>
        <w:jc w:val="both"/>
        <w:rPr>
          <w:rFonts w:ascii="Times New Roman" w:hAnsi="Times New Roman"/>
          <w:sz w:val="24"/>
          <w:szCs w:val="24"/>
        </w:rPr>
      </w:pPr>
      <w:r w:rsidRPr="0073301E">
        <w:rPr>
          <w:rFonts w:ascii="Times New Roman" w:hAnsi="Times New Roman"/>
          <w:sz w:val="24"/>
          <w:szCs w:val="24"/>
        </w:rPr>
        <w:t>Landratsamt Dingolfing-Landau</w:t>
      </w:r>
      <w:r>
        <w:rPr>
          <w:rFonts w:ascii="Times New Roman" w:hAnsi="Times New Roman"/>
          <w:sz w:val="24"/>
          <w:szCs w:val="24"/>
        </w:rPr>
        <w:t xml:space="preserve">, </w:t>
      </w:r>
      <w:r w:rsidR="00BB1B6A">
        <w:rPr>
          <w:rFonts w:ascii="Times New Roman" w:hAnsi="Times New Roman"/>
          <w:sz w:val="24"/>
          <w:szCs w:val="24"/>
        </w:rPr>
        <w:t>22.04.2021</w:t>
      </w:r>
    </w:p>
    <w:p w:rsidR="001D5E5B" w:rsidRPr="0073301E" w:rsidRDefault="001D5E5B" w:rsidP="001D5E5B">
      <w:pPr>
        <w:pStyle w:val="Textkrper"/>
        <w:jc w:val="both"/>
        <w:rPr>
          <w:rFonts w:ascii="Times New Roman" w:hAnsi="Times New Roman"/>
          <w:sz w:val="24"/>
          <w:szCs w:val="24"/>
        </w:rPr>
      </w:pPr>
      <w:r w:rsidRPr="0073301E">
        <w:rPr>
          <w:rFonts w:ascii="Times New Roman" w:hAnsi="Times New Roman"/>
          <w:sz w:val="24"/>
          <w:szCs w:val="24"/>
        </w:rPr>
        <w:t>SG 42</w:t>
      </w:r>
    </w:p>
    <w:p w:rsidR="001D5E5B" w:rsidRDefault="001D5E5B" w:rsidP="001D5E5B">
      <w:pPr>
        <w:pStyle w:val="Textkrper"/>
        <w:jc w:val="both"/>
        <w:rPr>
          <w:rFonts w:ascii="Times New Roman" w:hAnsi="Times New Roman"/>
          <w:sz w:val="24"/>
          <w:szCs w:val="24"/>
        </w:rPr>
      </w:pPr>
    </w:p>
    <w:p w:rsidR="005C7D94" w:rsidRDefault="00087498" w:rsidP="001D5E5B">
      <w:pPr>
        <w:pStyle w:val="Textkrper"/>
        <w:jc w:val="both"/>
        <w:rPr>
          <w:rFonts w:ascii="Times New Roman" w:hAnsi="Times New Roman"/>
          <w:sz w:val="24"/>
          <w:szCs w:val="24"/>
        </w:rPr>
      </w:pPr>
      <w:r>
        <w:rPr>
          <w:rFonts w:ascii="Times New Roman" w:hAnsi="Times New Roman"/>
          <w:sz w:val="24"/>
          <w:szCs w:val="24"/>
        </w:rPr>
        <w:t xml:space="preserve"> </w:t>
      </w:r>
    </w:p>
    <w:p w:rsidR="001D5E5B" w:rsidRPr="0073301E" w:rsidRDefault="001D5E5B" w:rsidP="001D5E5B">
      <w:pPr>
        <w:pStyle w:val="Textkrper"/>
        <w:jc w:val="both"/>
        <w:rPr>
          <w:rFonts w:ascii="Times New Roman" w:hAnsi="Times New Roman"/>
          <w:sz w:val="24"/>
          <w:szCs w:val="24"/>
        </w:rPr>
      </w:pPr>
    </w:p>
    <w:p w:rsidR="001D5E5B" w:rsidRPr="0073301E" w:rsidRDefault="001D5E5B" w:rsidP="001D5E5B">
      <w:pPr>
        <w:pStyle w:val="Textkrper"/>
        <w:jc w:val="both"/>
        <w:rPr>
          <w:rFonts w:ascii="Times New Roman" w:hAnsi="Times New Roman"/>
          <w:sz w:val="24"/>
          <w:szCs w:val="24"/>
        </w:rPr>
      </w:pPr>
      <w:r w:rsidRPr="0073301E">
        <w:rPr>
          <w:rFonts w:ascii="Times New Roman" w:hAnsi="Times New Roman"/>
          <w:sz w:val="24"/>
          <w:szCs w:val="24"/>
        </w:rPr>
        <w:t>Kerstin Kameter-Schenkl</w:t>
      </w:r>
    </w:p>
    <w:p w:rsidR="001D5E5B" w:rsidRDefault="001D5E5B" w:rsidP="001D5E5B">
      <w:pPr>
        <w:pStyle w:val="Textkrper"/>
        <w:jc w:val="both"/>
        <w:rPr>
          <w:rFonts w:ascii="Times New Roman" w:hAnsi="Times New Roman"/>
          <w:sz w:val="24"/>
          <w:szCs w:val="24"/>
        </w:rPr>
      </w:pPr>
    </w:p>
    <w:p w:rsidR="001D5E5B" w:rsidRDefault="001D5E5B" w:rsidP="001D5E5B">
      <w:pPr>
        <w:pStyle w:val="Textkrper"/>
        <w:jc w:val="both"/>
        <w:rPr>
          <w:rFonts w:ascii="Times New Roman" w:hAnsi="Times New Roman"/>
          <w:sz w:val="24"/>
          <w:szCs w:val="24"/>
        </w:rPr>
      </w:pPr>
    </w:p>
    <w:p w:rsidR="001D5E5B" w:rsidRPr="0073301E" w:rsidRDefault="001D5E5B" w:rsidP="001D5E5B">
      <w:pPr>
        <w:pStyle w:val="Textkrper"/>
        <w:jc w:val="both"/>
        <w:rPr>
          <w:rFonts w:ascii="Times New Roman" w:hAnsi="Times New Roman"/>
          <w:sz w:val="24"/>
          <w:szCs w:val="24"/>
        </w:rPr>
      </w:pPr>
    </w:p>
    <w:p w:rsidR="001D5E5B" w:rsidRPr="0073301E" w:rsidRDefault="001D5E5B" w:rsidP="001D5E5B">
      <w:pPr>
        <w:pStyle w:val="Textkrper"/>
        <w:jc w:val="both"/>
        <w:rPr>
          <w:rFonts w:ascii="Times New Roman" w:hAnsi="Times New Roman"/>
          <w:sz w:val="24"/>
          <w:szCs w:val="24"/>
        </w:rPr>
      </w:pPr>
      <w:r w:rsidRPr="0073301E">
        <w:rPr>
          <w:rFonts w:ascii="Times New Roman" w:hAnsi="Times New Roman"/>
          <w:b/>
          <w:sz w:val="24"/>
          <w:szCs w:val="24"/>
        </w:rPr>
        <w:t>II. Z.A.</w:t>
      </w:r>
    </w:p>
    <w:p w:rsidR="001D5E5B" w:rsidRDefault="001D5E5B" w:rsidP="001D5E5B"/>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3BA"/>
    <w:multiLevelType w:val="hybridMultilevel"/>
    <w:tmpl w:val="A1E6A326"/>
    <w:lvl w:ilvl="0" w:tplc="0148A7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5B"/>
    <w:rsid w:val="00087498"/>
    <w:rsid w:val="001D5E5B"/>
    <w:rsid w:val="0039326A"/>
    <w:rsid w:val="004C4113"/>
    <w:rsid w:val="005C7D94"/>
    <w:rsid w:val="006E7E7B"/>
    <w:rsid w:val="0098797F"/>
    <w:rsid w:val="00A97B62"/>
    <w:rsid w:val="00BB1B6A"/>
    <w:rsid w:val="00EB0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03F9"/>
  <w15:chartTrackingRefBased/>
  <w15:docId w15:val="{3C95270B-9522-46B8-A375-F1D7D136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5E5B"/>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1D5E5B"/>
    <w:rPr>
      <w:rFonts w:ascii="Arial" w:hAnsi="Arial"/>
      <w:kern w:val="16"/>
      <w:sz w:val="22"/>
      <w:szCs w:val="20"/>
    </w:rPr>
  </w:style>
  <w:style w:type="character" w:customStyle="1" w:styleId="TextkrperZchn">
    <w:name w:val="Textkörper Zchn"/>
    <w:basedOn w:val="Absatz-Standardschriftart"/>
    <w:link w:val="Textkrper"/>
    <w:rsid w:val="001D5E5B"/>
    <w:rPr>
      <w:rFonts w:eastAsia="Times New Roman" w:cs="Times New Roman"/>
      <w:kern w:val="16"/>
      <w:szCs w:val="20"/>
      <w:lang w:eastAsia="de-DE"/>
    </w:rPr>
  </w:style>
  <w:style w:type="paragraph" w:styleId="Kopfzeile">
    <w:name w:val="header"/>
    <w:basedOn w:val="Standard"/>
    <w:link w:val="KopfzeileZchn"/>
    <w:rsid w:val="001D5E5B"/>
    <w:pPr>
      <w:tabs>
        <w:tab w:val="center" w:pos="4536"/>
        <w:tab w:val="right" w:pos="9072"/>
      </w:tabs>
    </w:pPr>
    <w:rPr>
      <w:szCs w:val="20"/>
    </w:rPr>
  </w:style>
  <w:style w:type="character" w:customStyle="1" w:styleId="KopfzeileZchn">
    <w:name w:val="Kopfzeile Zchn"/>
    <w:basedOn w:val="Absatz-Standardschriftart"/>
    <w:link w:val="Kopfzeile"/>
    <w:uiPriority w:val="99"/>
    <w:rsid w:val="001D5E5B"/>
    <w:rPr>
      <w:rFonts w:ascii="Times New Roman" w:eastAsia="Times New Roman" w:hAnsi="Times New Roman" w:cs="Times New Roman"/>
      <w:sz w:val="24"/>
      <w:szCs w:val="20"/>
      <w:lang w:eastAsia="de-DE"/>
    </w:rPr>
  </w:style>
  <w:style w:type="paragraph" w:styleId="Aufzhlungszeichen">
    <w:name w:val="List Bullet"/>
    <w:basedOn w:val="Standard"/>
    <w:autoRedefine/>
    <w:rsid w:val="001D5E5B"/>
    <w:rPr>
      <w:szCs w:val="20"/>
    </w:rPr>
  </w:style>
  <w:style w:type="paragraph" w:styleId="Listenabsatz">
    <w:name w:val="List Paragraph"/>
    <w:basedOn w:val="Standard"/>
    <w:uiPriority w:val="34"/>
    <w:qFormat/>
    <w:rsid w:val="001D5E5B"/>
    <w:pPr>
      <w:ind w:left="720"/>
      <w:contextualSpacing/>
    </w:pPr>
  </w:style>
  <w:style w:type="paragraph" w:styleId="Sprechblasentext">
    <w:name w:val="Balloon Text"/>
    <w:basedOn w:val="Standard"/>
    <w:link w:val="SprechblasentextZchn"/>
    <w:uiPriority w:val="99"/>
    <w:semiHidden/>
    <w:unhideWhenUsed/>
    <w:rsid w:val="005C7D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7D9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4</cp:revision>
  <cp:lastPrinted>2021-04-23T12:41:00Z</cp:lastPrinted>
  <dcterms:created xsi:type="dcterms:W3CDTF">2021-04-22T07:45:00Z</dcterms:created>
  <dcterms:modified xsi:type="dcterms:W3CDTF">2021-04-23T14:29:00Z</dcterms:modified>
</cp:coreProperties>
</file>