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E0" w:rsidRDefault="003E7CE0" w:rsidP="003E7CE0">
      <w:pPr>
        <w:ind w:left="0" w:firstLine="0"/>
      </w:pPr>
      <w:r>
        <w:t>4.16-6430.02-170102</w:t>
      </w:r>
    </w:p>
    <w:p w:rsidR="003E7CE0" w:rsidRDefault="003E7CE0" w:rsidP="003E7CE0">
      <w:pPr>
        <w:ind w:left="0" w:firstLine="0"/>
      </w:pPr>
    </w:p>
    <w:p w:rsidR="003E7CE0" w:rsidRPr="008E1F8E" w:rsidRDefault="003E7CE0" w:rsidP="003E7CE0">
      <w:pPr>
        <w:ind w:left="0" w:firstLine="0"/>
        <w:jc w:val="both"/>
        <w:rPr>
          <w:b/>
        </w:rPr>
      </w:pPr>
      <w:r w:rsidRPr="008E1F8E">
        <w:rPr>
          <w:b/>
        </w:rPr>
        <w:t>Wasserrecht</w:t>
      </w:r>
      <w:r>
        <w:rPr>
          <w:b/>
        </w:rPr>
        <w:t xml:space="preserve"> und Umweltverträglichkeitsrecht</w:t>
      </w:r>
      <w:r w:rsidRPr="008E1F8E">
        <w:rPr>
          <w:b/>
        </w:rPr>
        <w:t xml:space="preserve">; </w:t>
      </w:r>
    </w:p>
    <w:p w:rsidR="003E7CE0" w:rsidRPr="003E7CE0" w:rsidRDefault="003E7CE0" w:rsidP="003E7CE0">
      <w:pPr>
        <w:widowControl/>
        <w:tabs>
          <w:tab w:val="left" w:pos="6237"/>
        </w:tabs>
        <w:autoSpaceDN/>
        <w:ind w:left="0" w:firstLine="0"/>
        <w:textAlignment w:val="auto"/>
        <w:rPr>
          <w:rFonts w:eastAsia="Times New Roman"/>
          <w:b/>
        </w:rPr>
      </w:pPr>
      <w:r w:rsidRPr="003E7CE0">
        <w:rPr>
          <w:rFonts w:eastAsia="Times New Roman"/>
          <w:b/>
        </w:rPr>
        <w:t>Plangenehmigung zur Tieferlegung des Unterwasserkanals beim Wasserkraftwerk „Untermühle“ am Kaltenbacher Mühlbach in der Stadt Traunstein durch Herrn Heinrich Winkl</w:t>
      </w:r>
      <w:bookmarkStart w:id="0" w:name="_GoBack"/>
      <w:bookmarkEnd w:id="0"/>
      <w:r w:rsidRPr="003E7CE0">
        <w:rPr>
          <w:rFonts w:eastAsia="Times New Roman"/>
          <w:b/>
        </w:rPr>
        <w:t>er</w:t>
      </w:r>
    </w:p>
    <w:p w:rsidR="003E7CE0" w:rsidRDefault="003E7CE0" w:rsidP="003E7CE0">
      <w:pPr>
        <w:ind w:left="0" w:firstLine="0"/>
        <w:jc w:val="both"/>
        <w:rPr>
          <w:b/>
        </w:rPr>
      </w:pPr>
    </w:p>
    <w:p w:rsidR="003E7CE0" w:rsidRDefault="003E7CE0" w:rsidP="003E7CE0">
      <w:pPr>
        <w:ind w:left="0" w:firstLine="0"/>
        <w:jc w:val="both"/>
        <w:rPr>
          <w:b/>
        </w:rPr>
      </w:pPr>
    </w:p>
    <w:p w:rsidR="003E7CE0" w:rsidRPr="00EA182D" w:rsidRDefault="003E7CE0" w:rsidP="003E7CE0">
      <w:pPr>
        <w:pBdr>
          <w:top w:val="single" w:sz="4" w:space="1" w:color="auto"/>
          <w:left w:val="single" w:sz="4" w:space="4" w:color="auto"/>
          <w:bottom w:val="single" w:sz="4" w:space="1" w:color="auto"/>
          <w:right w:val="single" w:sz="4" w:space="4" w:color="auto"/>
        </w:pBdr>
        <w:autoSpaceDE w:val="0"/>
        <w:adjustRightInd w:val="0"/>
        <w:ind w:left="0" w:firstLine="0"/>
        <w:jc w:val="center"/>
        <w:rPr>
          <w:rFonts w:ascii="Calibri" w:hAnsi="Calibri" w:cs="Calibri"/>
          <w:sz w:val="24"/>
          <w:szCs w:val="24"/>
          <w:lang w:eastAsia="de-DE"/>
        </w:rPr>
      </w:pPr>
      <w:r w:rsidRPr="00EA182D">
        <w:rPr>
          <w:rFonts w:ascii="Calibri" w:hAnsi="Calibri" w:cs="Calibri"/>
          <w:sz w:val="24"/>
          <w:szCs w:val="24"/>
          <w:lang w:eastAsia="de-DE"/>
        </w:rPr>
        <w:t>Bekanntmachung</w:t>
      </w:r>
    </w:p>
    <w:p w:rsidR="003E7CE0" w:rsidRDefault="003E7CE0" w:rsidP="003E7CE0">
      <w:pPr>
        <w:autoSpaceDE w:val="0"/>
        <w:adjustRightInd w:val="0"/>
        <w:ind w:left="0" w:firstLine="0"/>
        <w:jc w:val="both"/>
        <w:rPr>
          <w:rFonts w:ascii="Calibri" w:hAnsi="Calibri" w:cs="Calibri"/>
          <w:lang w:eastAsia="de-DE"/>
        </w:rPr>
      </w:pPr>
    </w:p>
    <w:p w:rsidR="003E7CE0" w:rsidRDefault="003E7CE0" w:rsidP="003E7CE0">
      <w:pPr>
        <w:autoSpaceDE w:val="0"/>
        <w:adjustRightInd w:val="0"/>
        <w:ind w:left="0" w:firstLine="0"/>
        <w:jc w:val="both"/>
        <w:rPr>
          <w:rFonts w:ascii="Calibri" w:hAnsi="Calibri" w:cs="Calibri"/>
          <w:lang w:eastAsia="de-DE"/>
        </w:rPr>
      </w:pPr>
      <w:r>
        <w:rPr>
          <w:rFonts w:ascii="Calibri" w:hAnsi="Calibri" w:cs="Calibri"/>
          <w:lang w:eastAsia="de-DE"/>
        </w:rPr>
        <w:t>Im Ortsteil Kaltenbach der Stadt Traunstein wird die Wasserkraft des aus der Traun bei Aiging ausgeleiteten Kaltenbacher Mühlbachs seit unvordenklichen Zeiten genutzt. Dem jetzigen Eigentümer der beiden Wasserkraftwerke „Obermühle“ und „Untermühle“, Herrn Heinz Winkler, war dazu zuletzt mit Bescheid vom 09.10.1991 eine wasserrechtliche Bewilligung zur Absenkung des Unterwasserkanals bei ansonsten unverändert altrechtlicher Nutzung erteilt worden. Eine ebenfalls notwendig</w:t>
      </w:r>
      <w:r w:rsidR="00507C95">
        <w:rPr>
          <w:rFonts w:ascii="Calibri" w:hAnsi="Calibri" w:cs="Calibri"/>
          <w:lang w:eastAsia="de-DE"/>
        </w:rPr>
        <w:t xml:space="preserve"> gewesene</w:t>
      </w:r>
      <w:r>
        <w:rPr>
          <w:rFonts w:ascii="Calibri" w:hAnsi="Calibri" w:cs="Calibri"/>
          <w:lang w:eastAsia="de-DE"/>
        </w:rPr>
        <w:t xml:space="preserve"> Behandlung der wesentlichen Veränderungen an einem Gewässer</w:t>
      </w:r>
      <w:r w:rsidR="00507C95">
        <w:rPr>
          <w:rFonts w:ascii="Calibri" w:hAnsi="Calibri" w:cs="Calibri"/>
          <w:lang w:eastAsia="de-DE"/>
        </w:rPr>
        <w:t xml:space="preserve"> als Gewässerausbau war damals unterblieben.</w:t>
      </w:r>
    </w:p>
    <w:p w:rsidR="003E7CE0" w:rsidRDefault="00507C95" w:rsidP="003E7CE0">
      <w:pPr>
        <w:autoSpaceDE w:val="0"/>
        <w:adjustRightInd w:val="0"/>
        <w:ind w:left="0" w:firstLine="0"/>
        <w:jc w:val="both"/>
        <w:rPr>
          <w:rFonts w:ascii="Calibri" w:hAnsi="Calibri" w:cs="Calibri"/>
          <w:lang w:eastAsia="de-DE"/>
        </w:rPr>
      </w:pPr>
      <w:r>
        <w:rPr>
          <w:rFonts w:ascii="Calibri" w:hAnsi="Calibri" w:cs="Calibri"/>
          <w:lang w:eastAsia="de-DE"/>
        </w:rPr>
        <w:t xml:space="preserve">Am 22.01.2021 beantragte der Unternehmer nachträglich eine Plangenehmigung für die etwa im Jahr 1985 vorgenommenen Veränderungen am Triebwerkskanal zu seiner Untermühle. </w:t>
      </w:r>
    </w:p>
    <w:p w:rsidR="00507C95" w:rsidRDefault="00507C95" w:rsidP="003E7CE0">
      <w:pPr>
        <w:ind w:left="0" w:firstLine="0"/>
        <w:jc w:val="both"/>
        <w:rPr>
          <w:lang w:eastAsia="de-DE"/>
        </w:rPr>
      </w:pPr>
    </w:p>
    <w:p w:rsidR="003E7CE0" w:rsidRDefault="003E7CE0" w:rsidP="003E7CE0">
      <w:pPr>
        <w:ind w:left="0" w:firstLine="0"/>
        <w:jc w:val="both"/>
        <w:rPr>
          <w:lang w:eastAsia="de-DE"/>
        </w:rPr>
      </w:pPr>
      <w:r w:rsidRPr="00F45EBD">
        <w:rPr>
          <w:lang w:eastAsia="de-DE"/>
        </w:rPr>
        <w:t>Nach</w:t>
      </w:r>
      <w:r w:rsidR="00507C95">
        <w:rPr>
          <w:lang w:eastAsia="de-DE"/>
        </w:rPr>
        <w:t xml:space="preserve"> </w:t>
      </w:r>
      <w:r w:rsidRPr="00F45EBD">
        <w:rPr>
          <w:lang w:eastAsia="de-DE"/>
        </w:rPr>
        <w:t xml:space="preserve">§ 5 Abs. 1 </w:t>
      </w:r>
      <w:r>
        <w:rPr>
          <w:lang w:eastAsia="de-DE"/>
        </w:rPr>
        <w:t>Gesetz</w:t>
      </w:r>
      <w:r w:rsidRPr="00F45EBD">
        <w:rPr>
          <w:lang w:eastAsia="de-DE"/>
        </w:rPr>
        <w:t xml:space="preserve"> über die Umweltve</w:t>
      </w:r>
      <w:r>
        <w:rPr>
          <w:lang w:eastAsia="de-DE"/>
        </w:rPr>
        <w:t>rträglichkeitsprüfung (UVPG)</w:t>
      </w:r>
      <w:r w:rsidRPr="00F45EBD">
        <w:rPr>
          <w:lang w:eastAsia="de-DE"/>
        </w:rPr>
        <w:t xml:space="preserve"> </w:t>
      </w:r>
      <w:r w:rsidR="00507C95">
        <w:rPr>
          <w:lang w:eastAsia="de-DE"/>
        </w:rPr>
        <w:t xml:space="preserve">ist </w:t>
      </w:r>
      <w:r w:rsidRPr="00F45EBD">
        <w:rPr>
          <w:lang w:eastAsia="de-DE"/>
        </w:rPr>
        <w:t xml:space="preserve">durch </w:t>
      </w:r>
      <w:r>
        <w:rPr>
          <w:lang w:eastAsia="de-DE"/>
        </w:rPr>
        <w:t>die zuständige Behörde, das Landratsamt Traunstein i</w:t>
      </w:r>
      <w:r w:rsidR="00507C95">
        <w:rPr>
          <w:lang w:eastAsia="de-DE"/>
        </w:rPr>
        <w:t>m Rahmen des Wasserrechtsverfahrens</w:t>
      </w:r>
      <w:r>
        <w:rPr>
          <w:lang w:eastAsia="de-DE"/>
        </w:rPr>
        <w:t xml:space="preserve"> festzu</w:t>
      </w:r>
      <w:r w:rsidRPr="00F45EBD">
        <w:rPr>
          <w:lang w:eastAsia="de-DE"/>
        </w:rPr>
        <w:t xml:space="preserve">stellen, ob für das Vorhaben eine Verpflichtung zur Durchführung einer Umweltverträglichkeitsprüfung </w:t>
      </w:r>
      <w:r>
        <w:rPr>
          <w:lang w:eastAsia="de-DE"/>
        </w:rPr>
        <w:t xml:space="preserve">(UVP) </w:t>
      </w:r>
      <w:r w:rsidRPr="00F45EBD">
        <w:rPr>
          <w:lang w:eastAsia="de-DE"/>
        </w:rPr>
        <w:t>besteht</w:t>
      </w:r>
      <w:r>
        <w:rPr>
          <w:lang w:eastAsia="de-DE"/>
        </w:rPr>
        <w:t xml:space="preserve">. </w:t>
      </w:r>
    </w:p>
    <w:p w:rsidR="003E7CE0" w:rsidRDefault="003E7CE0" w:rsidP="003E7CE0">
      <w:pPr>
        <w:ind w:left="0" w:firstLine="0"/>
        <w:jc w:val="both"/>
        <w:rPr>
          <w:lang w:eastAsia="de-DE"/>
        </w:rPr>
      </w:pPr>
      <w:r>
        <w:rPr>
          <w:lang w:eastAsia="de-DE"/>
        </w:rPr>
        <w:t>Das Vo</w:t>
      </w:r>
      <w:r w:rsidR="00507C95">
        <w:rPr>
          <w:lang w:eastAsia="de-DE"/>
        </w:rPr>
        <w:t>rhaben ist in Anlage 1 Nr. 13.18.1</w:t>
      </w:r>
      <w:r>
        <w:rPr>
          <w:lang w:eastAsia="de-DE"/>
        </w:rPr>
        <w:t xml:space="preserve"> Spalte 2 zum UVPG mit dem Buchstaben „A“ gekennzeichnet. Es ist deshalb gemäß § 7 Abs. 1 UVPG eine allgemeine Vorprüfung des Einzelfalls zur Feststellung der UVP-Pflicht durchzuführen.</w:t>
      </w:r>
      <w:r w:rsidRPr="00F45EBD">
        <w:rPr>
          <w:lang w:eastAsia="de-DE"/>
        </w:rPr>
        <w:t xml:space="preserve"> </w:t>
      </w:r>
      <w:r>
        <w:rPr>
          <w:lang w:eastAsia="de-DE"/>
        </w:rPr>
        <w:t xml:space="preserve">Die allgemeine Vorprüfung des Einzelfalls wurde als überschlägige Prüfung unter Berücksichtigung der in Anlage 3 zum UVPG aufgeführten Kriterien durchgeführt. </w:t>
      </w:r>
    </w:p>
    <w:p w:rsidR="003E7CE0" w:rsidRDefault="003E7CE0" w:rsidP="003E7CE0">
      <w:pPr>
        <w:ind w:left="0" w:firstLine="0"/>
        <w:jc w:val="both"/>
        <w:rPr>
          <w:lang w:eastAsia="de-DE"/>
        </w:rPr>
      </w:pPr>
    </w:p>
    <w:p w:rsidR="00BC59AC" w:rsidRDefault="00BC59AC" w:rsidP="003E7CE0">
      <w:pPr>
        <w:ind w:left="0" w:firstLine="0"/>
        <w:jc w:val="both"/>
        <w:rPr>
          <w:lang w:eastAsia="de-DE"/>
        </w:rPr>
      </w:pPr>
      <w:r>
        <w:rPr>
          <w:lang w:eastAsia="de-DE"/>
        </w:rPr>
        <w:t>Die Anlagen „Obermühle“ und „Untermühle“ werden seit etwa 35 Jahren in der jetzigen Anlagenkonfiguration betrieben, zusätzliche</w:t>
      </w:r>
      <w:r w:rsidR="003E7CE0">
        <w:rPr>
          <w:lang w:eastAsia="de-DE"/>
        </w:rPr>
        <w:t xml:space="preserve"> Beeinträchtigungen für die Schutzgüter i. S. d. UVPG (Boden, Tiere, Pflanzen) </w:t>
      </w:r>
      <w:r>
        <w:rPr>
          <w:lang w:eastAsia="de-DE"/>
        </w:rPr>
        <w:t>sind nicht erkennbar.</w:t>
      </w:r>
    </w:p>
    <w:p w:rsidR="003E7CE0" w:rsidRDefault="003E7CE0" w:rsidP="003E7CE0">
      <w:pPr>
        <w:ind w:left="0" w:firstLine="0"/>
        <w:jc w:val="both"/>
        <w:rPr>
          <w:lang w:eastAsia="de-DE"/>
        </w:rPr>
      </w:pPr>
      <w:r w:rsidRPr="00F45EBD">
        <w:rPr>
          <w:lang w:eastAsia="de-DE"/>
        </w:rPr>
        <w:t>Im</w:t>
      </w:r>
      <w:r>
        <w:rPr>
          <w:lang w:eastAsia="de-DE"/>
        </w:rPr>
        <w:t xml:space="preserve"> Ergebnis der Vorprüfung wurde</w:t>
      </w:r>
      <w:r w:rsidRPr="00F45EBD">
        <w:rPr>
          <w:lang w:eastAsia="de-DE"/>
        </w:rPr>
        <w:t xml:space="preserve"> festgestellt, dass </w:t>
      </w:r>
      <w:r>
        <w:rPr>
          <w:lang w:eastAsia="de-DE"/>
        </w:rPr>
        <w:t>d</w:t>
      </w:r>
      <w:r w:rsidRPr="00F45EBD">
        <w:rPr>
          <w:lang w:eastAsia="de-DE"/>
        </w:rPr>
        <w:t>urch d</w:t>
      </w:r>
      <w:r w:rsidR="00BC59AC">
        <w:rPr>
          <w:lang w:eastAsia="de-DE"/>
        </w:rPr>
        <w:t>ie nachträgliche Plangenehmigung des Gewässerausbaus</w:t>
      </w:r>
      <w:r>
        <w:rPr>
          <w:lang w:eastAsia="de-DE"/>
        </w:rPr>
        <w:t xml:space="preserve"> </w:t>
      </w:r>
      <w:r w:rsidR="00BC59AC">
        <w:rPr>
          <w:lang w:eastAsia="de-DE"/>
        </w:rPr>
        <w:t>bzw.</w:t>
      </w:r>
      <w:r>
        <w:rPr>
          <w:lang w:eastAsia="de-DE"/>
        </w:rPr>
        <w:t xml:space="preserve"> die Fortsetzung des Betriebs im bisherigen Umfang </w:t>
      </w:r>
      <w:r w:rsidRPr="00F45EBD">
        <w:rPr>
          <w:lang w:eastAsia="de-DE"/>
        </w:rPr>
        <w:t xml:space="preserve">keine erheblichen nachteiligen Auswirkungen für die Umwelt zu erwarten sind und deshalb keine Verpflichtung zur Durchführung einer Umweltverträglichkeitsprüfung besteht. </w:t>
      </w:r>
    </w:p>
    <w:p w:rsidR="003E7CE0" w:rsidRDefault="003E7CE0" w:rsidP="003E7CE0">
      <w:pPr>
        <w:ind w:left="0" w:firstLine="0"/>
        <w:jc w:val="both"/>
        <w:rPr>
          <w:lang w:eastAsia="de-DE"/>
        </w:rPr>
      </w:pPr>
    </w:p>
    <w:p w:rsidR="003E7CE0" w:rsidRDefault="003E7CE0" w:rsidP="003E7CE0">
      <w:pPr>
        <w:ind w:left="0" w:firstLine="0"/>
        <w:jc w:val="both"/>
        <w:rPr>
          <w:lang w:eastAsia="de-DE"/>
        </w:rPr>
      </w:pPr>
      <w:r w:rsidRPr="00F45EBD">
        <w:rPr>
          <w:lang w:eastAsia="de-DE"/>
        </w:rPr>
        <w:t>Diese Feststel</w:t>
      </w:r>
      <w:r>
        <w:rPr>
          <w:lang w:eastAsia="de-DE"/>
        </w:rPr>
        <w:t xml:space="preserve">lung wird </w:t>
      </w:r>
      <w:r w:rsidRPr="00F45EBD">
        <w:rPr>
          <w:lang w:eastAsia="de-DE"/>
        </w:rPr>
        <w:t xml:space="preserve">gemäß § 5 Abs. 2 </w:t>
      </w:r>
      <w:r>
        <w:rPr>
          <w:lang w:eastAsia="de-DE"/>
        </w:rPr>
        <w:t>UVPG</w:t>
      </w:r>
      <w:r w:rsidRPr="00F45EBD">
        <w:rPr>
          <w:lang w:eastAsia="de-DE"/>
        </w:rPr>
        <w:t xml:space="preserve"> </w:t>
      </w:r>
      <w:r>
        <w:rPr>
          <w:lang w:eastAsia="de-DE"/>
        </w:rPr>
        <w:t>öffentlich bekannt gegeben</w:t>
      </w:r>
      <w:r w:rsidRPr="00F45EBD">
        <w:rPr>
          <w:lang w:eastAsia="de-DE"/>
        </w:rPr>
        <w:t xml:space="preserve">. Die Feststellung </w:t>
      </w:r>
      <w:r>
        <w:rPr>
          <w:lang w:eastAsia="de-DE"/>
        </w:rPr>
        <w:t>ist nicht selbständig anfechtbar (§ 5 Abs. 3 Satz 1 UVPG)</w:t>
      </w:r>
      <w:r w:rsidRPr="00F45EBD">
        <w:rPr>
          <w:lang w:eastAsia="de-DE"/>
        </w:rPr>
        <w:t xml:space="preserve">. </w:t>
      </w:r>
    </w:p>
    <w:p w:rsidR="003E7CE0" w:rsidRDefault="003E7CE0" w:rsidP="003E7CE0">
      <w:pPr>
        <w:ind w:left="0" w:firstLine="0"/>
      </w:pPr>
    </w:p>
    <w:p w:rsidR="003E7CE0" w:rsidRDefault="003E7CE0" w:rsidP="003E7CE0">
      <w:pPr>
        <w:ind w:left="0" w:firstLine="0"/>
      </w:pPr>
    </w:p>
    <w:p w:rsidR="003E7CE0" w:rsidRDefault="003E7CE0" w:rsidP="003E7CE0">
      <w:pPr>
        <w:ind w:left="0" w:firstLine="0"/>
      </w:pPr>
      <w:r>
        <w:t xml:space="preserve">Traunstein, den </w:t>
      </w:r>
      <w:r w:rsidR="00EA182D">
        <w:t>20.08</w:t>
      </w:r>
      <w:r>
        <w:t>.2021</w:t>
      </w:r>
    </w:p>
    <w:p w:rsidR="003E7CE0" w:rsidRDefault="003E7CE0" w:rsidP="003E7CE0">
      <w:pPr>
        <w:ind w:left="0" w:firstLine="0"/>
      </w:pPr>
      <w:r>
        <w:t xml:space="preserve">Landratsamt Traunstein </w:t>
      </w:r>
    </w:p>
    <w:p w:rsidR="003E7CE0" w:rsidRDefault="003E7CE0" w:rsidP="003E7CE0">
      <w:pPr>
        <w:ind w:left="0" w:firstLine="0"/>
      </w:pPr>
      <w:bookmarkStart w:id="1" w:name="os_autosavelastposition3350834"/>
      <w:bookmarkEnd w:id="1"/>
    </w:p>
    <w:p w:rsidR="003E7CE0" w:rsidRDefault="003E7CE0" w:rsidP="003E7CE0">
      <w:pPr>
        <w:ind w:left="0" w:firstLine="0"/>
      </w:pPr>
    </w:p>
    <w:p w:rsidR="003E7CE0" w:rsidRDefault="003E7CE0" w:rsidP="003E7CE0">
      <w:pPr>
        <w:ind w:left="0" w:firstLine="0"/>
      </w:pPr>
      <w:r>
        <w:t>Christian Nebl</w:t>
      </w:r>
    </w:p>
    <w:p w:rsidR="00CD5D24" w:rsidRDefault="00BC59AC" w:rsidP="00DE6EE4">
      <w:pPr>
        <w:ind w:left="0" w:firstLine="0"/>
      </w:pPr>
      <w:r>
        <w:t>Abteilungsleiter</w:t>
      </w:r>
    </w:p>
    <w:sectPr w:rsidR="00CD5D24" w:rsidSect="00DE6EE4">
      <w:headerReference w:type="default" r:id="rId6"/>
      <w:footerReference w:type="default" r:id="rId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182D">
      <w:r>
        <w:separator/>
      </w:r>
    </w:p>
  </w:endnote>
  <w:endnote w:type="continuationSeparator" w:id="0">
    <w:p w:rsidR="00000000" w:rsidRDefault="00EA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ld">
    <w:panose1 w:val="020F0702030404030204"/>
    <w:charset w:val="00"/>
    <w:family w:val="auto"/>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BD" w:rsidRDefault="00EA182D" w:rsidP="00F45EBD">
    <w:pPr>
      <w:pStyle w:val="Fuzeile"/>
      <w:jc w:val="center"/>
      <w:rPr>
        <w:rFonts w:ascii="Arial" w:hAnsi="Arial"/>
        <w:sz w:val="16"/>
        <w:szCs w:val="16"/>
      </w:rPr>
    </w:pPr>
  </w:p>
  <w:p w:rsidR="00F45EBD" w:rsidRDefault="00EA182D" w:rsidP="00F45EBD">
    <w:pPr>
      <w:pStyle w:val="Fuzeile"/>
      <w:jc w:val="center"/>
      <w:rPr>
        <w:rFonts w:ascii="Arial" w:hAnsi="Arial"/>
        <w:sz w:val="16"/>
        <w:szCs w:val="16"/>
      </w:rPr>
    </w:pPr>
  </w:p>
  <w:p w:rsidR="00F45EBD" w:rsidRPr="007E6550" w:rsidRDefault="00EA182D" w:rsidP="00F45EBD">
    <w:pPr>
      <w:pStyle w:val="Fuzeile"/>
      <w:jc w:val="center"/>
      <w:rPr>
        <w:rFonts w:ascii="Arial" w:hAnsi="Arial"/>
        <w:sz w:val="16"/>
        <w:szCs w:val="16"/>
      </w:rPr>
    </w:pPr>
  </w:p>
  <w:p w:rsidR="00F45EBD" w:rsidRDefault="00BC59AC" w:rsidP="00F45EBD">
    <w:pPr>
      <w:framePr w:w="9083" w:h="720" w:hSpace="142" w:wrap="around" w:vAnchor="page" w:hAnchor="page" w:x="1539" w:y="15841" w:anchorLock="1"/>
      <w:rPr>
        <w:rFonts w:ascii="Calibri" w:hAnsi="Calibri"/>
        <w:sz w:val="16"/>
        <w:szCs w:val="16"/>
      </w:rPr>
    </w:pPr>
    <w:r>
      <w:rPr>
        <w:rFonts w:ascii="Calibri Bold" w:hAnsi="Calibri Bold"/>
        <w:sz w:val="16"/>
        <w:szCs w:val="16"/>
      </w:rPr>
      <w:t>Postanschrift:</w:t>
    </w:r>
    <w:r>
      <w:rPr>
        <w:rFonts w:ascii="Calibri" w:hAnsi="Calibri"/>
        <w:sz w:val="16"/>
        <w:szCs w:val="16"/>
      </w:rPr>
      <w:t xml:space="preserve"> Papst-Benedikt-XVI.-Platz | 83278 Traunstein | Telefon: +49 861 58-0 | www.traunstein.bayern</w:t>
    </w:r>
  </w:p>
  <w:p w:rsidR="00F45EBD" w:rsidRDefault="00BC59AC" w:rsidP="00F45EBD">
    <w:pPr>
      <w:framePr w:w="9083" w:h="720" w:hSpace="142" w:wrap="around" w:vAnchor="page" w:hAnchor="page" w:x="1539" w:y="15841" w:anchorLock="1"/>
      <w:rPr>
        <w:rFonts w:ascii="Calibri" w:hAnsi="Calibri"/>
        <w:sz w:val="16"/>
        <w:szCs w:val="16"/>
      </w:rPr>
    </w:pPr>
    <w:r>
      <w:rPr>
        <w:rFonts w:ascii="Calibri Bold" w:hAnsi="Calibri Bold"/>
        <w:sz w:val="16"/>
        <w:szCs w:val="16"/>
      </w:rPr>
      <w:t>Bankverbindung:</w:t>
    </w:r>
    <w:r>
      <w:rPr>
        <w:rFonts w:ascii="Calibri" w:hAnsi="Calibri"/>
        <w:sz w:val="16"/>
        <w:szCs w:val="16"/>
      </w:rPr>
      <w:t xml:space="preserve"> Kreissparkasse Traunstein | IBAN: DE96 7105 2050 0000 0000 18 | BIC: BYLADEM1TST</w:t>
    </w:r>
  </w:p>
  <w:p w:rsidR="00F45EBD" w:rsidRDefault="00BC59AC" w:rsidP="00F45EBD">
    <w:pPr>
      <w:framePr w:w="9083" w:h="720" w:hSpace="142" w:wrap="around" w:vAnchor="page" w:hAnchor="page" w:x="1539" w:y="15841" w:anchorLock="1"/>
      <w:rPr>
        <w:rFonts w:ascii="Calibri" w:hAnsi="Calibri"/>
        <w:sz w:val="16"/>
        <w:szCs w:val="16"/>
      </w:rPr>
    </w:pPr>
    <w:r>
      <w:rPr>
        <w:rFonts w:ascii="Calibri Bold" w:hAnsi="Calibri Bold"/>
        <w:sz w:val="16"/>
        <w:szCs w:val="16"/>
      </w:rPr>
      <w:t>Öffnungszeiten:</w:t>
    </w:r>
    <w:r>
      <w:rPr>
        <w:rFonts w:ascii="Calibri" w:hAnsi="Calibri"/>
        <w:sz w:val="16"/>
        <w:szCs w:val="16"/>
      </w:rPr>
      <w:t xml:space="preserve"> Mo bis Do: von 08:00 bis 12:00 Uhr und 13:30 bis 16:00 Uhr | Fr: von 08:00 bis 12:00 Uhr</w:t>
    </w:r>
  </w:p>
  <w:p w:rsidR="00F45EBD" w:rsidRDefault="00BC59AC" w:rsidP="00F45EBD">
    <w:pPr>
      <w:pStyle w:val="KeinLeerraum"/>
      <w:framePr w:w="9083" w:h="720" w:hSpace="142" w:wrap="around" w:vAnchor="page" w:hAnchor="page" w:x="1539" w:y="15841" w:anchorLock="1"/>
      <w:ind w:left="7788" w:firstLine="708"/>
      <w:jc w:val="center"/>
      <w:rPr>
        <w:rFonts w:asciiTheme="majorHAnsi" w:hAnsiTheme="majorHAnsi" w:cs="Times"/>
        <w:sz w:val="16"/>
        <w:szCs w:val="20"/>
      </w:rPr>
    </w:pPr>
    <w:r>
      <w:rPr>
        <w:rStyle w:val="Seitenzahl"/>
        <w:rFonts w:asciiTheme="majorHAnsi" w:hAnsiTheme="majorHAnsi"/>
        <w:sz w:val="16"/>
        <w:szCs w:val="20"/>
      </w:rPr>
      <w:t xml:space="preserve">- </w:t>
    </w:r>
    <w:r>
      <w:rPr>
        <w:rStyle w:val="Seitenzahl"/>
        <w:rFonts w:asciiTheme="majorHAnsi" w:hAnsiTheme="majorHAnsi"/>
        <w:sz w:val="16"/>
        <w:szCs w:val="20"/>
      </w:rPr>
      <w:fldChar w:fldCharType="begin"/>
    </w:r>
    <w:r>
      <w:rPr>
        <w:rStyle w:val="Seitenzahl"/>
        <w:rFonts w:asciiTheme="majorHAnsi" w:hAnsiTheme="majorHAnsi"/>
        <w:sz w:val="16"/>
        <w:szCs w:val="20"/>
      </w:rPr>
      <w:instrText xml:space="preserve"> PAGE </w:instrText>
    </w:r>
    <w:r>
      <w:rPr>
        <w:rStyle w:val="Seitenzahl"/>
        <w:rFonts w:asciiTheme="majorHAnsi" w:hAnsiTheme="majorHAnsi"/>
        <w:sz w:val="16"/>
        <w:szCs w:val="20"/>
      </w:rPr>
      <w:fldChar w:fldCharType="separate"/>
    </w:r>
    <w:r w:rsidR="00EA182D">
      <w:rPr>
        <w:rStyle w:val="Seitenzahl"/>
        <w:rFonts w:asciiTheme="majorHAnsi" w:hAnsiTheme="majorHAnsi"/>
        <w:noProof/>
        <w:sz w:val="16"/>
        <w:szCs w:val="20"/>
      </w:rPr>
      <w:t>1</w:t>
    </w:r>
    <w:r>
      <w:rPr>
        <w:rStyle w:val="Seitenzahl"/>
        <w:rFonts w:asciiTheme="majorHAnsi" w:hAnsiTheme="majorHAnsi"/>
        <w:sz w:val="16"/>
        <w:szCs w:val="20"/>
      </w:rPr>
      <w:fldChar w:fldCharType="end"/>
    </w:r>
    <w:r>
      <w:rPr>
        <w:rStyle w:val="Seitenzahl"/>
        <w:rFonts w:asciiTheme="majorHAnsi" w:hAnsiTheme="majorHAnsi"/>
        <w:sz w:val="16"/>
        <w:szCs w:val="20"/>
      </w:rPr>
      <w:t xml:space="preserve"> -</w:t>
    </w:r>
  </w:p>
  <w:p w:rsidR="00F45EBD" w:rsidRDefault="00EA18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182D">
      <w:r>
        <w:separator/>
      </w:r>
    </w:p>
  </w:footnote>
  <w:footnote w:type="continuationSeparator" w:id="0">
    <w:p w:rsidR="00000000" w:rsidRDefault="00EA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BD" w:rsidRPr="000C56E4" w:rsidRDefault="00BC59AC" w:rsidP="00F45EBD">
    <w:pPr>
      <w:pStyle w:val="Kopfzeile"/>
      <w:rPr>
        <w:lang w:eastAsia="de-DE"/>
      </w:rPr>
    </w:pPr>
    <w:r w:rsidRPr="000C56E4">
      <w:rPr>
        <w:noProof/>
        <w:lang w:eastAsia="de-DE"/>
      </w:rPr>
      <w:drawing>
        <wp:anchor distT="0" distB="0" distL="114300" distR="114300" simplePos="0" relativeHeight="251659264" behindDoc="0" locked="0" layoutInCell="1" allowOverlap="1" wp14:anchorId="64A51ACE" wp14:editId="2D024294">
          <wp:simplePos x="0" y="0"/>
          <wp:positionH relativeFrom="column">
            <wp:posOffset>4096385</wp:posOffset>
          </wp:positionH>
          <wp:positionV relativeFrom="paragraph">
            <wp:posOffset>114461</wp:posOffset>
          </wp:positionV>
          <wp:extent cx="1842770" cy="992505"/>
          <wp:effectExtent l="0" t="0" r="5080" b="0"/>
          <wp:wrapNone/>
          <wp:docPr id="3" name="Bild 1" descr="aktuelle Jobs:L:LRA_Landratsamt Traunstein:LRA_17121_BB_0417:1017:LRA-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ktuelle Jobs:L:LRA_Landratsamt Traunstein:LRA_17121_BB_0417:1017:LRA-TS_logo.jp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42770"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EBD" w:rsidRDefault="00EA182D" w:rsidP="00F45EBD"/>
  <w:p w:rsidR="00F45EBD" w:rsidRDefault="00EA182D" w:rsidP="00F45EBD"/>
  <w:p w:rsidR="00F45EBD" w:rsidRDefault="00EA182D" w:rsidP="00F45EBD"/>
  <w:p w:rsidR="00F45EBD" w:rsidRDefault="00EA182D" w:rsidP="00F45EBD"/>
  <w:p w:rsidR="00F45EBD" w:rsidRDefault="00EA182D" w:rsidP="00F45EBD"/>
  <w:p w:rsidR="00F45EBD" w:rsidRDefault="00EA18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E4"/>
    <w:rsid w:val="00100379"/>
    <w:rsid w:val="003E7CE0"/>
    <w:rsid w:val="00404F8B"/>
    <w:rsid w:val="00507C95"/>
    <w:rsid w:val="00780678"/>
    <w:rsid w:val="00BA66AA"/>
    <w:rsid w:val="00BC59AC"/>
    <w:rsid w:val="00CD5D24"/>
    <w:rsid w:val="00DE6EE4"/>
    <w:rsid w:val="00EA1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FB40"/>
  <w15:docId w15:val="{C3F6BE90-DF86-4050-ABF8-5A7C19CD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ind w:left="709"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66AA"/>
    <w:pPr>
      <w:widowControl w:val="0"/>
      <w:autoSpaceDN w:val="0"/>
      <w:textAlignment w:val="baseline"/>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E7CE0"/>
    <w:pPr>
      <w:tabs>
        <w:tab w:val="center" w:pos="4536"/>
        <w:tab w:val="right" w:pos="9072"/>
      </w:tabs>
    </w:pPr>
  </w:style>
  <w:style w:type="character" w:customStyle="1" w:styleId="KopfzeileZchn">
    <w:name w:val="Kopfzeile Zchn"/>
    <w:basedOn w:val="Absatz-Standardschriftart"/>
    <w:link w:val="Kopfzeile"/>
    <w:rsid w:val="003E7CE0"/>
    <w:rPr>
      <w:rFonts w:asciiTheme="minorHAnsi" w:hAnsiTheme="minorHAnsi"/>
    </w:rPr>
  </w:style>
  <w:style w:type="paragraph" w:styleId="Fuzeile">
    <w:name w:val="footer"/>
    <w:basedOn w:val="Standard"/>
    <w:link w:val="FuzeileZchn"/>
    <w:unhideWhenUsed/>
    <w:rsid w:val="003E7CE0"/>
    <w:pPr>
      <w:tabs>
        <w:tab w:val="center" w:pos="4536"/>
        <w:tab w:val="right" w:pos="9072"/>
      </w:tabs>
    </w:pPr>
  </w:style>
  <w:style w:type="character" w:customStyle="1" w:styleId="FuzeileZchn">
    <w:name w:val="Fußzeile Zchn"/>
    <w:basedOn w:val="Absatz-Standardschriftart"/>
    <w:link w:val="Fuzeile"/>
    <w:rsid w:val="003E7CE0"/>
    <w:rPr>
      <w:rFonts w:asciiTheme="minorHAnsi" w:hAnsiTheme="minorHAnsi"/>
    </w:rPr>
  </w:style>
  <w:style w:type="character" w:styleId="Seitenzahl">
    <w:name w:val="page number"/>
    <w:basedOn w:val="Absatz-Standardschriftart"/>
    <w:uiPriority w:val="99"/>
    <w:rsid w:val="003E7CE0"/>
  </w:style>
  <w:style w:type="paragraph" w:styleId="KeinLeerraum">
    <w:name w:val="No Spacing"/>
    <w:uiPriority w:val="1"/>
    <w:qFormat/>
    <w:rsid w:val="003E7CE0"/>
    <w:pPr>
      <w:ind w:lef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Landratsamt Traunstein</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Ausfelder, Christian</dc:creator>
  <cp:lastModifiedBy>Thurner, Martin</cp:lastModifiedBy>
  <cp:revision>6</cp:revision>
  <dcterms:created xsi:type="dcterms:W3CDTF">2015-04-22T10:41:00Z</dcterms:created>
  <dcterms:modified xsi:type="dcterms:W3CDTF">2021-08-20T05:43:00Z</dcterms:modified>
</cp:coreProperties>
</file>