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0C" w:rsidRDefault="00110556" w:rsidP="00BE243F">
      <w:pPr>
        <w:spacing w:after="0" w:line="240" w:lineRule="auto"/>
        <w:rPr>
          <w:rFonts w:ascii="Arial" w:hAnsi="Arial" w:cs="Arial"/>
        </w:rPr>
      </w:pPr>
      <w:r>
        <w:rPr>
          <w:rFonts w:ascii="Arial" w:hAnsi="Arial" w:cs="Arial"/>
        </w:rPr>
        <w:t>Landratsamt Deggendorf</w:t>
      </w:r>
    </w:p>
    <w:p w:rsidR="00110556" w:rsidRDefault="00110556" w:rsidP="00BE243F">
      <w:pPr>
        <w:spacing w:after="0" w:line="240" w:lineRule="auto"/>
        <w:rPr>
          <w:rFonts w:ascii="Arial" w:hAnsi="Arial" w:cs="Arial"/>
        </w:rPr>
      </w:pPr>
      <w:r>
        <w:rPr>
          <w:rFonts w:ascii="Arial" w:hAnsi="Arial" w:cs="Arial"/>
        </w:rPr>
        <w:t xml:space="preserve">41-6421.05 </w:t>
      </w:r>
    </w:p>
    <w:p w:rsidR="00110556" w:rsidRDefault="00110556" w:rsidP="00BE243F">
      <w:pPr>
        <w:spacing w:after="0" w:line="240" w:lineRule="auto"/>
        <w:rPr>
          <w:rFonts w:ascii="Arial" w:hAnsi="Arial" w:cs="Arial"/>
        </w:rPr>
      </w:pPr>
    </w:p>
    <w:p w:rsidR="00110556" w:rsidRDefault="00110556" w:rsidP="00BE243F">
      <w:pPr>
        <w:spacing w:after="0" w:line="240" w:lineRule="auto"/>
        <w:rPr>
          <w:rFonts w:ascii="Arial" w:hAnsi="Arial" w:cs="Arial"/>
        </w:rPr>
      </w:pPr>
    </w:p>
    <w:p w:rsidR="00110556" w:rsidRPr="00110556" w:rsidRDefault="00110556" w:rsidP="00BE243F">
      <w:pPr>
        <w:spacing w:after="0" w:line="240" w:lineRule="auto"/>
        <w:rPr>
          <w:rFonts w:ascii="Arial" w:hAnsi="Arial" w:cs="Arial"/>
          <w:b/>
        </w:rPr>
      </w:pPr>
      <w:r w:rsidRPr="00110556">
        <w:rPr>
          <w:rFonts w:ascii="Arial" w:hAnsi="Arial" w:cs="Arial"/>
          <w:b/>
        </w:rPr>
        <w:t>Wassergesetze;</w:t>
      </w:r>
    </w:p>
    <w:p w:rsidR="00110556" w:rsidRPr="00110556" w:rsidRDefault="00110556" w:rsidP="00BE243F">
      <w:pPr>
        <w:spacing w:after="0" w:line="240" w:lineRule="auto"/>
        <w:rPr>
          <w:rFonts w:ascii="Arial" w:hAnsi="Arial" w:cs="Arial"/>
          <w:b/>
        </w:rPr>
      </w:pPr>
      <w:r w:rsidRPr="00110556">
        <w:rPr>
          <w:rFonts w:ascii="Arial" w:hAnsi="Arial" w:cs="Arial"/>
          <w:b/>
        </w:rPr>
        <w:t>Bauwasserhaltung mit Einleitung in den Plattlinger Mühlbach anlässlich des Neubaus einer Wohnanlage mit Tiefgarage an der Mühlbachpromen</w:t>
      </w:r>
      <w:r>
        <w:rPr>
          <w:rFonts w:ascii="Arial" w:hAnsi="Arial" w:cs="Arial"/>
          <w:b/>
        </w:rPr>
        <w:t>a</w:t>
      </w:r>
      <w:r w:rsidRPr="00110556">
        <w:rPr>
          <w:rFonts w:ascii="Arial" w:hAnsi="Arial" w:cs="Arial"/>
          <w:b/>
        </w:rPr>
        <w:t>de in 94447 Plattling</w:t>
      </w:r>
    </w:p>
    <w:p w:rsidR="00110556" w:rsidRDefault="00635978" w:rsidP="00BE243F">
      <w:pPr>
        <w:spacing w:after="0" w:line="240" w:lineRule="auto"/>
        <w:rPr>
          <w:rFonts w:ascii="Arial" w:hAnsi="Arial" w:cs="Arial"/>
          <w:b/>
        </w:rPr>
      </w:pPr>
      <w:r w:rsidRPr="00635978">
        <w:rPr>
          <w:rFonts w:ascii="Arial" w:hAnsi="Arial" w:cs="Arial"/>
          <w:b/>
          <w:u w:val="single"/>
        </w:rPr>
        <w:t>Vorhabensträger:</w:t>
      </w:r>
      <w:r w:rsidRPr="00635978">
        <w:rPr>
          <w:rFonts w:ascii="Arial" w:hAnsi="Arial" w:cs="Arial"/>
          <w:b/>
        </w:rPr>
        <w:t xml:space="preserve"> Dahme Baustoff GmbH, Hans-Obser-Str. 10, 95569 Deggendorf</w:t>
      </w:r>
    </w:p>
    <w:p w:rsidR="00635978" w:rsidRPr="00635978" w:rsidRDefault="00635978" w:rsidP="00BE243F">
      <w:pPr>
        <w:spacing w:after="0" w:line="240" w:lineRule="auto"/>
        <w:rPr>
          <w:rFonts w:ascii="Arial" w:hAnsi="Arial" w:cs="Arial"/>
          <w:b/>
        </w:rPr>
      </w:pPr>
    </w:p>
    <w:p w:rsidR="00110556" w:rsidRDefault="00110556" w:rsidP="00110556">
      <w:pPr>
        <w:spacing w:after="0" w:line="240" w:lineRule="auto"/>
        <w:ind w:left="567" w:hanging="567"/>
        <w:rPr>
          <w:rFonts w:ascii="Arial" w:hAnsi="Arial" w:cs="Arial"/>
          <w:b/>
        </w:rPr>
      </w:pPr>
      <w:r>
        <w:rPr>
          <w:rFonts w:ascii="Arial" w:hAnsi="Arial" w:cs="Arial"/>
          <w:b/>
        </w:rPr>
        <w:t>h</w:t>
      </w:r>
      <w:r w:rsidRPr="00110556">
        <w:rPr>
          <w:rFonts w:ascii="Arial" w:hAnsi="Arial" w:cs="Arial"/>
          <w:b/>
        </w:rPr>
        <w:t xml:space="preserve">ier: </w:t>
      </w:r>
      <w:r>
        <w:rPr>
          <w:rFonts w:ascii="Arial" w:hAnsi="Arial" w:cs="Arial"/>
          <w:b/>
        </w:rPr>
        <w:t xml:space="preserve"> </w:t>
      </w:r>
      <w:r w:rsidRPr="00110556">
        <w:rPr>
          <w:rFonts w:ascii="Arial" w:hAnsi="Arial" w:cs="Arial"/>
          <w:b/>
        </w:rPr>
        <w:t>Bekanntgabe nach §</w:t>
      </w:r>
      <w:r>
        <w:rPr>
          <w:rFonts w:ascii="Arial" w:hAnsi="Arial" w:cs="Arial"/>
          <w:b/>
        </w:rPr>
        <w:t xml:space="preserve"> 5 Abs. 2 des Gesetzes über die </w:t>
      </w:r>
      <w:r w:rsidRPr="00110556">
        <w:rPr>
          <w:rFonts w:ascii="Arial" w:hAnsi="Arial" w:cs="Arial"/>
          <w:b/>
        </w:rPr>
        <w:t>Umweltverträglichkeitsprüfung (UVPG)</w:t>
      </w:r>
    </w:p>
    <w:p w:rsidR="00110556" w:rsidRDefault="00110556" w:rsidP="00110556">
      <w:pPr>
        <w:spacing w:after="0" w:line="240" w:lineRule="auto"/>
        <w:ind w:left="567" w:hanging="567"/>
        <w:rPr>
          <w:rFonts w:ascii="Arial" w:hAnsi="Arial" w:cs="Arial"/>
          <w:b/>
        </w:rPr>
      </w:pPr>
    </w:p>
    <w:p w:rsidR="00110556" w:rsidRDefault="00110556" w:rsidP="00110556">
      <w:pPr>
        <w:spacing w:after="0" w:line="240" w:lineRule="auto"/>
        <w:ind w:left="567" w:hanging="567"/>
        <w:rPr>
          <w:rFonts w:ascii="Arial" w:hAnsi="Arial" w:cs="Arial"/>
          <w:b/>
        </w:rPr>
      </w:pPr>
    </w:p>
    <w:p w:rsidR="00110556" w:rsidRDefault="00110556" w:rsidP="00110556">
      <w:pPr>
        <w:spacing w:after="0" w:line="240" w:lineRule="auto"/>
        <w:ind w:left="567" w:hanging="567"/>
        <w:rPr>
          <w:rFonts w:ascii="Arial" w:hAnsi="Arial" w:cs="Arial"/>
          <w:b/>
        </w:rPr>
      </w:pPr>
    </w:p>
    <w:p w:rsidR="00110556" w:rsidRDefault="00110556" w:rsidP="00110556">
      <w:pPr>
        <w:spacing w:after="0" w:line="240" w:lineRule="auto"/>
        <w:ind w:left="567" w:hanging="567"/>
        <w:rPr>
          <w:rFonts w:ascii="Arial" w:hAnsi="Arial" w:cs="Arial"/>
          <w:b/>
        </w:rPr>
      </w:pPr>
    </w:p>
    <w:p w:rsidR="00110556" w:rsidRDefault="00110556" w:rsidP="00110556">
      <w:pPr>
        <w:spacing w:after="0" w:line="240" w:lineRule="auto"/>
        <w:ind w:left="567" w:hanging="567"/>
        <w:rPr>
          <w:rFonts w:ascii="Arial" w:hAnsi="Arial" w:cs="Arial"/>
          <w:b/>
        </w:rPr>
      </w:pPr>
    </w:p>
    <w:p w:rsidR="00110556" w:rsidRDefault="00110556" w:rsidP="00110556">
      <w:pPr>
        <w:spacing w:after="0" w:line="240" w:lineRule="auto"/>
        <w:ind w:left="567" w:hanging="567"/>
        <w:jc w:val="center"/>
        <w:rPr>
          <w:rFonts w:ascii="Arial" w:hAnsi="Arial" w:cs="Arial"/>
          <w:b/>
          <w:u w:val="single"/>
        </w:rPr>
      </w:pPr>
      <w:r w:rsidRPr="00110556">
        <w:rPr>
          <w:rFonts w:ascii="Arial" w:hAnsi="Arial" w:cs="Arial"/>
          <w:b/>
          <w:u w:val="single"/>
        </w:rPr>
        <w:t>B E K A N N T M A C H U N G</w:t>
      </w:r>
    </w:p>
    <w:p w:rsidR="00110556" w:rsidRDefault="00110556" w:rsidP="00110556">
      <w:pPr>
        <w:spacing w:after="0" w:line="240" w:lineRule="auto"/>
        <w:ind w:left="567" w:hanging="567"/>
        <w:jc w:val="both"/>
        <w:rPr>
          <w:rFonts w:ascii="Arial" w:hAnsi="Arial" w:cs="Arial"/>
        </w:rPr>
      </w:pPr>
    </w:p>
    <w:p w:rsidR="00110556" w:rsidRDefault="00110556" w:rsidP="00110556">
      <w:pPr>
        <w:spacing w:after="0" w:line="240" w:lineRule="auto"/>
        <w:ind w:left="567" w:hanging="567"/>
        <w:jc w:val="both"/>
        <w:rPr>
          <w:rFonts w:ascii="Arial" w:hAnsi="Arial" w:cs="Arial"/>
        </w:rPr>
      </w:pPr>
    </w:p>
    <w:p w:rsidR="00110556" w:rsidRDefault="00110556" w:rsidP="00635978">
      <w:pPr>
        <w:spacing w:after="0" w:line="240" w:lineRule="auto"/>
        <w:jc w:val="both"/>
        <w:rPr>
          <w:rFonts w:ascii="Arial" w:hAnsi="Arial" w:cs="Arial"/>
        </w:rPr>
      </w:pPr>
      <w:r>
        <w:rPr>
          <w:rFonts w:ascii="Arial" w:hAnsi="Arial" w:cs="Arial"/>
        </w:rPr>
        <w:t xml:space="preserve">Die Fa. Dahme </w:t>
      </w:r>
      <w:r w:rsidR="00635978">
        <w:rPr>
          <w:rFonts w:ascii="Arial" w:hAnsi="Arial" w:cs="Arial"/>
        </w:rPr>
        <w:t xml:space="preserve">Baustoff GmbH </w:t>
      </w:r>
      <w:r>
        <w:rPr>
          <w:rFonts w:ascii="Arial" w:hAnsi="Arial" w:cs="Arial"/>
        </w:rPr>
        <w:t xml:space="preserve">plant die Errichtung einer Wohnanlage mit Tiefgarage </w:t>
      </w:r>
      <w:r w:rsidR="00635978">
        <w:rPr>
          <w:rFonts w:ascii="Arial" w:hAnsi="Arial" w:cs="Arial"/>
        </w:rPr>
        <w:t>im Bereich der Landauer Straße auf den Grundstücken Fl.Nrn. 414, 415 und 416 der Gem. Plattling.in Plattling.</w:t>
      </w:r>
    </w:p>
    <w:p w:rsidR="00635978" w:rsidRDefault="00635978" w:rsidP="002A1B87">
      <w:pPr>
        <w:spacing w:after="0" w:line="240" w:lineRule="auto"/>
        <w:jc w:val="both"/>
        <w:rPr>
          <w:rFonts w:ascii="Arial" w:hAnsi="Arial" w:cs="Arial"/>
        </w:rPr>
      </w:pPr>
      <w:r>
        <w:rPr>
          <w:rFonts w:ascii="Arial" w:hAnsi="Arial" w:cs="Arial"/>
        </w:rPr>
        <w:t>Da der örtliche Grundwasserspiegel über der Sohle der Bauwerke liegt, soll das Grundwasser in der Bauphase abgesenkt werden. Die Baugrube wird mit MIP-Wänden gesichert. Die Wände binden 1 m in den unterlagernden Ton des tertiären Untergrundes ein. Um die natürliche Grundwasserbewegung im Endzustand wieder annährend zu ermöglichen, soll die Baugrube in Teilstücken mit Stahlspundwänden gesichert werden. Es sind dazu an allen 4 Seiten Abschnitte mit Längen von 12 bis 18 m vorgesehen werden. Die Stahlprofile werden nach Ende der Wasserhaltung wieder gezogen.</w:t>
      </w:r>
    </w:p>
    <w:p w:rsidR="002A1B87" w:rsidRDefault="002A1B87" w:rsidP="002A1B87">
      <w:pPr>
        <w:spacing w:after="0" w:line="240" w:lineRule="auto"/>
        <w:jc w:val="both"/>
        <w:rPr>
          <w:rFonts w:ascii="Arial" w:hAnsi="Arial" w:cs="Arial"/>
        </w:rPr>
      </w:pPr>
      <w:r>
        <w:rPr>
          <w:rFonts w:ascii="Arial" w:hAnsi="Arial" w:cs="Arial"/>
        </w:rPr>
        <w:t>Innerhalb der Baugrube werden 8 Brunnen errichtet. Als Bohrtiefe gibt die Planung 14 m, als Herstellungsdurchmesser 750 mm an. Die Brunnen werden durch Innenbaggerung verrohrt abgeteuft und mit einem Filterrohr versehen.</w:t>
      </w:r>
    </w:p>
    <w:p w:rsidR="002A1B87" w:rsidRDefault="002A1B87" w:rsidP="002A1B87">
      <w:pPr>
        <w:spacing w:after="0" w:line="240" w:lineRule="auto"/>
        <w:jc w:val="both"/>
        <w:rPr>
          <w:rFonts w:ascii="Arial" w:hAnsi="Arial" w:cs="Arial"/>
        </w:rPr>
      </w:pPr>
      <w:r>
        <w:rPr>
          <w:rFonts w:ascii="Arial" w:hAnsi="Arial" w:cs="Arial"/>
        </w:rPr>
        <w:t>Beim Lenzen der Baugrube müssen bis zu max. 50 l/s abgeführt werden. Anschließend werden 4,8 bis 14,3 l/s Restwasser eingeleitet. Über den gesamten Zeitraum der Bauwasserhaltung werden ca. 200.000 m³ Wasser in den Mühlbach eingeleitet.</w:t>
      </w:r>
    </w:p>
    <w:p w:rsidR="002A1B87" w:rsidRDefault="002A1B87" w:rsidP="002A1B87">
      <w:pPr>
        <w:spacing w:after="0" w:line="240" w:lineRule="auto"/>
        <w:jc w:val="both"/>
        <w:rPr>
          <w:rFonts w:ascii="Arial" w:hAnsi="Arial" w:cs="Arial"/>
        </w:rPr>
      </w:pPr>
    </w:p>
    <w:p w:rsidR="002A1B87" w:rsidRDefault="002A1B87" w:rsidP="002A1B87">
      <w:pPr>
        <w:spacing w:after="0" w:line="240" w:lineRule="auto"/>
        <w:jc w:val="both"/>
        <w:rPr>
          <w:rFonts w:ascii="Arial" w:hAnsi="Arial" w:cs="Arial"/>
        </w:rPr>
      </w:pPr>
      <w:r>
        <w:rPr>
          <w:rFonts w:ascii="Arial" w:hAnsi="Arial" w:cs="Arial"/>
        </w:rPr>
        <w:t>Die Bauwasserhaltung stellt eine Gewässerbenutzung nach § 9 Abs. 1</w:t>
      </w:r>
      <w:r w:rsidR="00F46008">
        <w:rPr>
          <w:rFonts w:ascii="Arial" w:hAnsi="Arial" w:cs="Arial"/>
        </w:rPr>
        <w:t xml:space="preserve"> WHG dar und bedarf i</w:t>
      </w:r>
      <w:r>
        <w:rPr>
          <w:rFonts w:ascii="Arial" w:hAnsi="Arial" w:cs="Arial"/>
        </w:rPr>
        <w:t xml:space="preserve">n diesem Umfang </w:t>
      </w:r>
      <w:r w:rsidR="00F46008">
        <w:rPr>
          <w:rFonts w:ascii="Arial" w:hAnsi="Arial" w:cs="Arial"/>
        </w:rPr>
        <w:t>gemäß Ziffer 13.3.2 der Anlage 1 zum UVPG einer allgemeinen Vorprüfung nach § 7 Abs. 1 UVPG.</w:t>
      </w:r>
    </w:p>
    <w:p w:rsidR="00F46008" w:rsidRDefault="00F46008" w:rsidP="002A1B87">
      <w:pPr>
        <w:spacing w:after="0" w:line="240" w:lineRule="auto"/>
        <w:jc w:val="both"/>
        <w:rPr>
          <w:rFonts w:ascii="Arial" w:hAnsi="Arial" w:cs="Arial"/>
        </w:rPr>
      </w:pPr>
    </w:p>
    <w:p w:rsidR="00F46008" w:rsidRPr="00115CCF" w:rsidRDefault="00F46008" w:rsidP="00F46008">
      <w:pPr>
        <w:spacing w:after="0" w:line="240" w:lineRule="auto"/>
        <w:jc w:val="both"/>
        <w:rPr>
          <w:rFonts w:ascii="Arial" w:eastAsia="Times New Roman" w:hAnsi="Arial" w:cs="Times New Roman"/>
          <w:lang w:eastAsia="de-DE"/>
        </w:rPr>
      </w:pPr>
      <w:r w:rsidRPr="00115CCF">
        <w:rPr>
          <w:rFonts w:ascii="Arial" w:eastAsia="Times New Roman" w:hAnsi="Arial" w:cs="Times New Roman"/>
          <w:lang w:eastAsia="de-DE"/>
        </w:rPr>
        <w:t xml:space="preserve">Im Zuge der Vorprüfung ist festzustellen, ob das Vorhaben unter Berücksichtigung der in </w:t>
      </w:r>
      <w:r w:rsidRPr="00115CCF">
        <w:rPr>
          <w:rFonts w:ascii="Arial" w:eastAsia="Times New Roman" w:hAnsi="Arial" w:cs="Times New Roman"/>
          <w:lang w:eastAsia="de-DE"/>
        </w:rPr>
        <w:br/>
        <w:t>Anlage 3 zum UVPG aufgeführten Schutzkriterien erhebliche nachteilige Umweltauswirkungen haben kann und deshalb die Verpflichtung zur Durchführung einer förmlichen Umwelt-verträglichkeitsprüfung nach den Vorschriften des UVPG besteht.</w:t>
      </w:r>
    </w:p>
    <w:p w:rsidR="00F46008" w:rsidRPr="00115CCF" w:rsidRDefault="00F46008" w:rsidP="00F46008">
      <w:pPr>
        <w:spacing w:after="0" w:line="240" w:lineRule="auto"/>
        <w:jc w:val="both"/>
        <w:rPr>
          <w:rFonts w:ascii="Arial" w:eastAsia="Times New Roman" w:hAnsi="Arial" w:cs="Times New Roman"/>
          <w:lang w:eastAsia="de-DE"/>
        </w:rPr>
      </w:pPr>
    </w:p>
    <w:p w:rsidR="00F46008" w:rsidRPr="00115CCF" w:rsidRDefault="00F46008" w:rsidP="00F46008">
      <w:pPr>
        <w:spacing w:after="0" w:line="240" w:lineRule="auto"/>
        <w:jc w:val="both"/>
        <w:rPr>
          <w:rFonts w:ascii="Arial" w:eastAsia="Times New Roman" w:hAnsi="Arial" w:cs="Times New Roman"/>
          <w:lang w:eastAsia="de-DE"/>
        </w:rPr>
      </w:pPr>
      <w:r w:rsidRPr="00115CCF">
        <w:rPr>
          <w:rFonts w:ascii="Arial" w:eastAsia="Times New Roman" w:hAnsi="Arial" w:cs="Times New Roman"/>
          <w:lang w:eastAsia="de-DE"/>
        </w:rPr>
        <w:t>Die Vorprüfung, die als überschlägige Prüfung anhand der Unterlagen nach Anlage 2 zum UVPG durchgeführt wird, hat ergeben, dass das Vorhaben keiner förmlichen Umweltverträglichkeitsprüfung zu unterziehen ist, da keine erheblichen nachteiligen Umweltauswirkungen hinsichtlich der zu betrachtenden Schutzgüter zu erwarten sind.</w:t>
      </w:r>
    </w:p>
    <w:p w:rsidR="00F46008" w:rsidRDefault="00F46008" w:rsidP="002A1B87">
      <w:pPr>
        <w:spacing w:after="0" w:line="240" w:lineRule="auto"/>
        <w:jc w:val="both"/>
        <w:rPr>
          <w:rFonts w:ascii="Arial" w:hAnsi="Arial" w:cs="Arial"/>
        </w:rPr>
      </w:pPr>
    </w:p>
    <w:p w:rsidR="00F46008" w:rsidRDefault="00F46008" w:rsidP="002A1B87">
      <w:pPr>
        <w:spacing w:after="0" w:line="240" w:lineRule="auto"/>
        <w:jc w:val="both"/>
        <w:rPr>
          <w:rFonts w:ascii="Arial" w:hAnsi="Arial" w:cs="Arial"/>
        </w:rPr>
      </w:pPr>
      <w:r>
        <w:rPr>
          <w:rFonts w:ascii="Arial" w:hAnsi="Arial" w:cs="Arial"/>
        </w:rPr>
        <w:t>Dies Einschätzung ergibt sich aus folgenden Gründen:</w:t>
      </w:r>
    </w:p>
    <w:p w:rsidR="00F46008" w:rsidRDefault="00F46008" w:rsidP="002A1B87">
      <w:pPr>
        <w:spacing w:after="0" w:line="240" w:lineRule="auto"/>
        <w:jc w:val="both"/>
        <w:rPr>
          <w:rFonts w:ascii="Arial" w:hAnsi="Arial" w:cs="Arial"/>
        </w:rPr>
      </w:pPr>
    </w:p>
    <w:p w:rsidR="00F46008" w:rsidRDefault="00F46008" w:rsidP="00F46008">
      <w:pPr>
        <w:pStyle w:val="Listenabsatz"/>
        <w:numPr>
          <w:ilvl w:val="0"/>
          <w:numId w:val="1"/>
        </w:numPr>
        <w:spacing w:after="0" w:line="240" w:lineRule="auto"/>
        <w:jc w:val="both"/>
        <w:rPr>
          <w:rFonts w:ascii="Arial" w:hAnsi="Arial" w:cs="Arial"/>
          <w:u w:val="single"/>
        </w:rPr>
      </w:pPr>
      <w:r w:rsidRPr="00F46008">
        <w:rPr>
          <w:rFonts w:ascii="Arial" w:hAnsi="Arial" w:cs="Arial"/>
          <w:u w:val="single"/>
        </w:rPr>
        <w:t>Merk</w:t>
      </w:r>
      <w:r>
        <w:rPr>
          <w:rFonts w:ascii="Arial" w:hAnsi="Arial" w:cs="Arial"/>
          <w:u w:val="single"/>
        </w:rPr>
        <w:t>male und Standort des Vorhabens</w:t>
      </w:r>
    </w:p>
    <w:p w:rsidR="00F46008" w:rsidRDefault="00F46008" w:rsidP="00F46008">
      <w:pPr>
        <w:pStyle w:val="Listenabsatz"/>
        <w:spacing w:after="0" w:line="240" w:lineRule="auto"/>
        <w:jc w:val="both"/>
        <w:rPr>
          <w:rFonts w:ascii="Arial" w:hAnsi="Arial" w:cs="Arial"/>
        </w:rPr>
      </w:pPr>
      <w:r>
        <w:rPr>
          <w:rFonts w:ascii="Arial" w:hAnsi="Arial" w:cs="Arial"/>
        </w:rPr>
        <w:t xml:space="preserve">Die betroffenen Grundstücke befinden sich im hochwassergeschützten Bereich der Isar. </w:t>
      </w:r>
    </w:p>
    <w:p w:rsidR="001E6690" w:rsidRDefault="001E6690" w:rsidP="00F46008">
      <w:pPr>
        <w:pStyle w:val="Listenabsatz"/>
        <w:spacing w:after="0" w:line="240" w:lineRule="auto"/>
        <w:jc w:val="both"/>
        <w:rPr>
          <w:rFonts w:ascii="Arial" w:hAnsi="Arial" w:cs="Arial"/>
        </w:rPr>
      </w:pPr>
      <w:r>
        <w:rPr>
          <w:rFonts w:ascii="Arial" w:hAnsi="Arial" w:cs="Arial"/>
        </w:rPr>
        <w:lastRenderedPageBreak/>
        <w:t>Naturschutz-, Landschafschutz- oder Natura-2000-Gebiete sind von der Maßnahme nicht betroffen.</w:t>
      </w:r>
    </w:p>
    <w:p w:rsidR="001E6690" w:rsidRDefault="001E6690" w:rsidP="00F46008">
      <w:pPr>
        <w:pStyle w:val="Listenabsatz"/>
        <w:spacing w:after="0" w:line="240" w:lineRule="auto"/>
        <w:jc w:val="both"/>
        <w:rPr>
          <w:rFonts w:ascii="Arial" w:hAnsi="Arial" w:cs="Arial"/>
        </w:rPr>
      </w:pPr>
      <w:r>
        <w:rPr>
          <w:rFonts w:ascii="Arial" w:hAnsi="Arial" w:cs="Arial"/>
        </w:rPr>
        <w:t xml:space="preserve">Der bestehende Gehölzsaum des Plattlinger Mühlbaches ist zum Teil in der amtlichen Biotopkartierung erfasst. </w:t>
      </w:r>
    </w:p>
    <w:p w:rsidR="001E6690" w:rsidRDefault="001E6690" w:rsidP="001E6690">
      <w:pPr>
        <w:spacing w:after="0" w:line="240" w:lineRule="auto"/>
        <w:jc w:val="both"/>
        <w:rPr>
          <w:rFonts w:ascii="Arial" w:hAnsi="Arial" w:cs="Arial"/>
        </w:rPr>
      </w:pPr>
    </w:p>
    <w:p w:rsidR="001E6690" w:rsidRPr="001E6690" w:rsidRDefault="001E6690" w:rsidP="001E6690">
      <w:pPr>
        <w:pStyle w:val="Listenabsatz"/>
        <w:numPr>
          <w:ilvl w:val="0"/>
          <w:numId w:val="1"/>
        </w:numPr>
        <w:spacing w:after="0" w:line="240" w:lineRule="auto"/>
        <w:jc w:val="both"/>
        <w:rPr>
          <w:rFonts w:ascii="Arial" w:hAnsi="Arial" w:cs="Arial"/>
          <w:u w:val="single"/>
        </w:rPr>
      </w:pPr>
      <w:r w:rsidRPr="001E6690">
        <w:rPr>
          <w:rFonts w:ascii="Arial" w:hAnsi="Arial" w:cs="Arial"/>
          <w:u w:val="single"/>
        </w:rPr>
        <w:t>Auswirkungen des Vorhabens</w:t>
      </w:r>
    </w:p>
    <w:p w:rsidR="002A1B87" w:rsidRDefault="001E6690" w:rsidP="001E6690">
      <w:pPr>
        <w:spacing w:after="0" w:line="240" w:lineRule="auto"/>
        <w:ind w:left="708"/>
        <w:jc w:val="both"/>
        <w:rPr>
          <w:rFonts w:ascii="Arial" w:hAnsi="Arial" w:cs="Arial"/>
        </w:rPr>
      </w:pPr>
      <w:r>
        <w:rPr>
          <w:rFonts w:ascii="Arial" w:hAnsi="Arial" w:cs="Arial"/>
        </w:rPr>
        <w:t>Durch das Einbringen der Spundwände entstehen vorübergehend Beeinträchtigungen durch Lärm, Erschütterung und auch Baustellenverkehr. Die AVV-Baulärm wird eingehalten.</w:t>
      </w:r>
    </w:p>
    <w:p w:rsidR="001E6690" w:rsidRDefault="00F87AA1" w:rsidP="001E6690">
      <w:pPr>
        <w:spacing w:after="0" w:line="240" w:lineRule="auto"/>
        <w:ind w:left="708"/>
        <w:jc w:val="both"/>
        <w:rPr>
          <w:rFonts w:ascii="Arial" w:hAnsi="Arial" w:cs="Arial"/>
        </w:rPr>
      </w:pPr>
      <w:r>
        <w:rPr>
          <w:rFonts w:ascii="Arial" w:hAnsi="Arial" w:cs="Arial"/>
        </w:rPr>
        <w:t>Mit der Errichtung der Bauwerke ist die Gefahr einer Schwächung der bindigen Deckschicht über dem stark wasserdurchlässigen Kiesuntergrund verbunden. Das Grundwasser ist zeitweise gespannt und Schwankungen unterworfen.</w:t>
      </w:r>
    </w:p>
    <w:p w:rsidR="00F87AA1" w:rsidRDefault="00F87AA1" w:rsidP="001E6690">
      <w:pPr>
        <w:spacing w:after="0" w:line="240" w:lineRule="auto"/>
        <w:ind w:left="708"/>
        <w:jc w:val="both"/>
        <w:rPr>
          <w:rFonts w:ascii="Arial" w:hAnsi="Arial" w:cs="Arial"/>
        </w:rPr>
      </w:pPr>
      <w:r>
        <w:rPr>
          <w:rFonts w:ascii="Arial" w:hAnsi="Arial" w:cs="Arial"/>
        </w:rPr>
        <w:t>Die Grundwasserabsenkung lässt außerhalb der Baugrube keine messbaren Auswirkungen auf den Grundwasserspiegel erwarten. Der MIP-Verbau bildet ein Hindernis für den Grundwasserstrom. In dem Grundwasserhindernis ist jedoch kein Problem zu sehen, da es sich um einen befristeten Zeitraum handelt und ein teilweiser Rückbau der Spundwände erfolgt.</w:t>
      </w:r>
    </w:p>
    <w:p w:rsidR="00F87AA1" w:rsidRDefault="00F87AA1" w:rsidP="001E6690">
      <w:pPr>
        <w:spacing w:after="0" w:line="240" w:lineRule="auto"/>
        <w:ind w:left="708"/>
        <w:jc w:val="both"/>
        <w:rPr>
          <w:rFonts w:ascii="Arial" w:hAnsi="Arial" w:cs="Arial"/>
        </w:rPr>
      </w:pPr>
      <w:r>
        <w:rPr>
          <w:rFonts w:ascii="Arial" w:hAnsi="Arial" w:cs="Arial"/>
        </w:rPr>
        <w:t>Auswirkungen auf den Plattlinger Mühlbach durch das Einlei</w:t>
      </w:r>
      <w:r w:rsidR="000833A7">
        <w:rPr>
          <w:rFonts w:ascii="Arial" w:hAnsi="Arial" w:cs="Arial"/>
        </w:rPr>
        <w:t>ten des Wassers erfolgen nicht. Eine Reinigung des Wassers über einen Absetzcontainer ist nicht vorgesehen und auch aus w</w:t>
      </w:r>
      <w:bookmarkStart w:id="0" w:name="_GoBack"/>
      <w:bookmarkEnd w:id="0"/>
      <w:r w:rsidR="000833A7">
        <w:rPr>
          <w:rFonts w:ascii="Arial" w:hAnsi="Arial" w:cs="Arial"/>
        </w:rPr>
        <w:t>asserwirtschaftlicher Sicht bei Beachtung von entsprechenden Auflagen auch nicht erforderlich.</w:t>
      </w:r>
    </w:p>
    <w:p w:rsidR="000833A7" w:rsidRDefault="000833A7" w:rsidP="001E6690">
      <w:pPr>
        <w:spacing w:after="0" w:line="240" w:lineRule="auto"/>
        <w:ind w:left="708"/>
        <w:jc w:val="both"/>
        <w:rPr>
          <w:rFonts w:ascii="Arial" w:hAnsi="Arial" w:cs="Arial"/>
        </w:rPr>
      </w:pPr>
      <w:r>
        <w:rPr>
          <w:rFonts w:ascii="Arial" w:hAnsi="Arial" w:cs="Arial"/>
        </w:rPr>
        <w:t>Die Ableitung des Wassers erfolgt über eine Rohrleitung, die durch ein amtlich kartiertes Biotop führt. Eine dauerhaft, erhebliche Beeinträchtigung lässt sich durch Auflagen vermeiden.</w:t>
      </w:r>
    </w:p>
    <w:p w:rsidR="000833A7" w:rsidRDefault="000833A7" w:rsidP="001E6690">
      <w:pPr>
        <w:spacing w:after="0" w:line="240" w:lineRule="auto"/>
        <w:ind w:left="708"/>
        <w:jc w:val="both"/>
        <w:rPr>
          <w:rFonts w:ascii="Arial" w:hAnsi="Arial" w:cs="Arial"/>
        </w:rPr>
      </w:pPr>
    </w:p>
    <w:p w:rsidR="000833A7" w:rsidRDefault="000833A7" w:rsidP="001E6690">
      <w:pPr>
        <w:spacing w:after="0" w:line="240" w:lineRule="auto"/>
        <w:ind w:left="708"/>
        <w:jc w:val="both"/>
        <w:rPr>
          <w:rFonts w:ascii="Arial" w:hAnsi="Arial" w:cs="Arial"/>
        </w:rPr>
      </w:pPr>
      <w:r>
        <w:rPr>
          <w:rFonts w:ascii="Arial" w:hAnsi="Arial" w:cs="Arial"/>
        </w:rPr>
        <w:t>Weitere erhebliche Auswirkungen auf die in Frage kommenden, in Anlage 3 Ziffer 3 zum UVPG aufgeführten Schutzgüter sind nicht erkennbar.</w:t>
      </w: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r>
        <w:rPr>
          <w:rFonts w:ascii="Arial" w:hAnsi="Arial" w:cs="Arial"/>
        </w:rPr>
        <w:t>Auf Grundlage der Vorprüfungsunterlagen wird festgestellt, dass keine erheblichen Auswirkungen auf die Umwelt entstehen und eine UVP-Pflicht nicht gegeben ist.</w:t>
      </w:r>
    </w:p>
    <w:p w:rsidR="000833A7" w:rsidRDefault="000833A7" w:rsidP="000833A7">
      <w:pPr>
        <w:spacing w:after="0" w:line="240" w:lineRule="auto"/>
        <w:jc w:val="both"/>
        <w:rPr>
          <w:rFonts w:ascii="Arial" w:hAnsi="Arial" w:cs="Arial"/>
        </w:rPr>
      </w:pPr>
    </w:p>
    <w:p w:rsidR="000833A7" w:rsidRPr="00D1115C" w:rsidRDefault="000833A7" w:rsidP="000833A7">
      <w:pPr>
        <w:spacing w:after="0" w:line="240" w:lineRule="auto"/>
        <w:jc w:val="both"/>
        <w:rPr>
          <w:rFonts w:ascii="Arial" w:eastAsia="Times New Roman" w:hAnsi="Arial" w:cs="Times New Roman"/>
          <w:lang w:eastAsia="de-DE"/>
        </w:rPr>
      </w:pPr>
      <w:r w:rsidRPr="00D1115C">
        <w:rPr>
          <w:rFonts w:ascii="Arial" w:eastAsia="Times New Roman" w:hAnsi="Arial" w:cs="Times New Roman"/>
          <w:lang w:eastAsia="de-DE"/>
        </w:rPr>
        <w:t>Diese Feststellung geben wir hiermit gemäß § 5 Abs. 2 UVPG bekannt.</w:t>
      </w:r>
    </w:p>
    <w:p w:rsidR="000833A7" w:rsidRPr="00D1115C" w:rsidRDefault="000833A7" w:rsidP="000833A7">
      <w:pPr>
        <w:spacing w:after="0" w:line="240" w:lineRule="auto"/>
        <w:jc w:val="both"/>
        <w:rPr>
          <w:rFonts w:ascii="Arial" w:eastAsia="Times New Roman" w:hAnsi="Arial" w:cs="Times New Roman"/>
          <w:lang w:eastAsia="de-DE"/>
        </w:rPr>
      </w:pPr>
      <w:r w:rsidRPr="00D1115C">
        <w:rPr>
          <w:rFonts w:ascii="Arial" w:eastAsia="Times New Roman" w:hAnsi="Arial" w:cs="Times New Roman"/>
          <w:lang w:eastAsia="de-DE"/>
        </w:rPr>
        <w:t>Sie ist gemäß § 5 Abs. 3 Satz 1 UVPG nicht selbständig anfechtbar.</w:t>
      </w:r>
    </w:p>
    <w:p w:rsidR="000833A7" w:rsidRPr="00D1115C" w:rsidRDefault="000833A7" w:rsidP="000833A7">
      <w:pPr>
        <w:spacing w:after="0" w:line="240" w:lineRule="auto"/>
        <w:jc w:val="both"/>
        <w:rPr>
          <w:rFonts w:ascii="Arial" w:eastAsia="Times New Roman" w:hAnsi="Arial" w:cs="Times New Roman"/>
          <w:lang w:eastAsia="de-DE"/>
        </w:rPr>
      </w:pPr>
    </w:p>
    <w:p w:rsidR="000833A7" w:rsidRPr="00D1115C" w:rsidRDefault="000833A7" w:rsidP="000833A7">
      <w:pPr>
        <w:spacing w:after="0" w:line="240" w:lineRule="auto"/>
        <w:jc w:val="both"/>
        <w:rPr>
          <w:rFonts w:ascii="Arial" w:eastAsia="Times New Roman" w:hAnsi="Arial" w:cs="Times New Roman"/>
          <w:lang w:eastAsia="de-DE"/>
        </w:rPr>
      </w:pPr>
      <w:r w:rsidRPr="00D1115C">
        <w:rPr>
          <w:rFonts w:ascii="Arial" w:eastAsia="Times New Roman" w:hAnsi="Arial" w:cs="Times New Roman"/>
          <w:lang w:eastAsia="de-DE"/>
        </w:rPr>
        <w:t>Nähere Informationen können beim Landratsamt Deggendorf, Sachgebiet 41, – Wasserrecht, Naturschutz, Bodenschutz</w:t>
      </w:r>
      <w:r>
        <w:rPr>
          <w:rFonts w:ascii="Arial" w:eastAsia="Times New Roman" w:hAnsi="Arial" w:cs="Times New Roman"/>
          <w:lang w:eastAsia="de-DE"/>
        </w:rPr>
        <w:t xml:space="preserve"> -,</w:t>
      </w:r>
      <w:r w:rsidRPr="00D1115C">
        <w:rPr>
          <w:rFonts w:ascii="Arial" w:eastAsia="Times New Roman" w:hAnsi="Arial" w:cs="Times New Roman"/>
          <w:lang w:eastAsia="de-DE"/>
        </w:rPr>
        <w:t xml:space="preserve"> Herrenstraße 18, 94469 Deggendorf, Tel. 0991/3100-238, eingeholt werden.</w:t>
      </w:r>
    </w:p>
    <w:p w:rsidR="000833A7" w:rsidRPr="00D1115C" w:rsidRDefault="000833A7" w:rsidP="000833A7">
      <w:pPr>
        <w:spacing w:after="0" w:line="240" w:lineRule="auto"/>
        <w:jc w:val="both"/>
        <w:rPr>
          <w:rFonts w:ascii="Arial" w:eastAsia="Times New Roman" w:hAnsi="Arial" w:cs="Times New Roman"/>
          <w:lang w:eastAsia="de-DE"/>
        </w:rPr>
      </w:pPr>
      <w:r w:rsidRPr="00D1115C">
        <w:rPr>
          <w:rFonts w:ascii="Arial" w:eastAsia="Times New Roman" w:hAnsi="Arial" w:cs="Times New Roman"/>
          <w:lang w:eastAsia="de-DE"/>
        </w:rPr>
        <w:t>Die Unterlagen zur Vorprüfung können eingesehen werden.</w:t>
      </w: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r>
        <w:rPr>
          <w:rFonts w:ascii="Arial" w:hAnsi="Arial" w:cs="Arial"/>
        </w:rPr>
        <w:t>Deggendorf, 27.07.2021</w:t>
      </w:r>
    </w:p>
    <w:p w:rsidR="000833A7" w:rsidRDefault="000833A7" w:rsidP="000833A7">
      <w:pPr>
        <w:spacing w:after="0" w:line="240" w:lineRule="auto"/>
        <w:jc w:val="both"/>
        <w:rPr>
          <w:rFonts w:ascii="Arial" w:hAnsi="Arial" w:cs="Arial"/>
        </w:rPr>
      </w:pPr>
      <w:r>
        <w:rPr>
          <w:rFonts w:ascii="Arial" w:hAnsi="Arial" w:cs="Arial"/>
        </w:rPr>
        <w:t>Landratsamt Deggendorf</w:t>
      </w: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r>
        <w:rPr>
          <w:rFonts w:ascii="Arial" w:hAnsi="Arial" w:cs="Arial"/>
        </w:rPr>
        <w:t>gez.</w:t>
      </w: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p>
    <w:p w:rsidR="000833A7" w:rsidRDefault="000833A7" w:rsidP="000833A7">
      <w:pPr>
        <w:spacing w:after="0" w:line="240" w:lineRule="auto"/>
        <w:jc w:val="both"/>
        <w:rPr>
          <w:rFonts w:ascii="Arial" w:hAnsi="Arial" w:cs="Arial"/>
        </w:rPr>
      </w:pPr>
      <w:r>
        <w:rPr>
          <w:rFonts w:ascii="Arial" w:hAnsi="Arial" w:cs="Arial"/>
        </w:rPr>
        <w:t>Bischoff</w:t>
      </w:r>
    </w:p>
    <w:p w:rsidR="000833A7" w:rsidRPr="001E6690" w:rsidRDefault="000833A7" w:rsidP="000833A7">
      <w:pPr>
        <w:spacing w:after="0" w:line="240" w:lineRule="auto"/>
        <w:jc w:val="both"/>
        <w:rPr>
          <w:rFonts w:ascii="Arial" w:hAnsi="Arial" w:cs="Arial"/>
        </w:rPr>
      </w:pPr>
      <w:r>
        <w:rPr>
          <w:rFonts w:ascii="Arial" w:hAnsi="Arial" w:cs="Arial"/>
        </w:rPr>
        <w:t>Regierungsdirektorin</w:t>
      </w:r>
    </w:p>
    <w:sectPr w:rsidR="000833A7" w:rsidRPr="001E6690" w:rsidSect="00275C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56" w:rsidRDefault="00110556" w:rsidP="00BE243F">
      <w:pPr>
        <w:spacing w:after="0" w:line="240" w:lineRule="auto"/>
      </w:pPr>
      <w:r>
        <w:separator/>
      </w:r>
    </w:p>
  </w:endnote>
  <w:endnote w:type="continuationSeparator" w:id="0">
    <w:p w:rsidR="00110556" w:rsidRDefault="00110556" w:rsidP="00BE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56" w:rsidRDefault="00110556" w:rsidP="00BE243F">
      <w:pPr>
        <w:spacing w:after="0" w:line="240" w:lineRule="auto"/>
      </w:pPr>
      <w:r>
        <w:separator/>
      </w:r>
    </w:p>
  </w:footnote>
  <w:footnote w:type="continuationSeparator" w:id="0">
    <w:p w:rsidR="00110556" w:rsidRDefault="00110556" w:rsidP="00BE2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A0320"/>
    <w:multiLevelType w:val="hybridMultilevel"/>
    <w:tmpl w:val="3F3A0D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56"/>
    <w:rsid w:val="000833A7"/>
    <w:rsid w:val="00110556"/>
    <w:rsid w:val="0014277B"/>
    <w:rsid w:val="00161F7B"/>
    <w:rsid w:val="001E6690"/>
    <w:rsid w:val="00275C2C"/>
    <w:rsid w:val="002A1B87"/>
    <w:rsid w:val="00485F90"/>
    <w:rsid w:val="004D0DDF"/>
    <w:rsid w:val="00525E51"/>
    <w:rsid w:val="00635978"/>
    <w:rsid w:val="007F0FDC"/>
    <w:rsid w:val="00BE243F"/>
    <w:rsid w:val="00F46008"/>
    <w:rsid w:val="00F87AA1"/>
    <w:rsid w:val="00FA65F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201D"/>
  <w15:chartTrackingRefBased/>
  <w15:docId w15:val="{8A03CEEE-3359-43CD-8D45-5980A8B0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5C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24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43F"/>
  </w:style>
  <w:style w:type="paragraph" w:styleId="Fuzeile">
    <w:name w:val="footer"/>
    <w:basedOn w:val="Standard"/>
    <w:link w:val="FuzeileZchn"/>
    <w:uiPriority w:val="99"/>
    <w:unhideWhenUsed/>
    <w:rsid w:val="00BE24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43F"/>
  </w:style>
  <w:style w:type="paragraph" w:styleId="Listenabsatz">
    <w:name w:val="List Paragraph"/>
    <w:basedOn w:val="Standard"/>
    <w:uiPriority w:val="34"/>
    <w:qFormat/>
    <w:rsid w:val="00F46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Landratsamt Deggendorf</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Sg41-BauerU</dc:creator>
  <cp:keywords/>
  <dc:description/>
  <cp:lastModifiedBy>Sg41-BauerU</cp:lastModifiedBy>
  <cp:revision>1</cp:revision>
  <dcterms:created xsi:type="dcterms:W3CDTF">2021-07-27T09:28:00Z</dcterms:created>
  <dcterms:modified xsi:type="dcterms:W3CDTF">2021-07-27T10:40:00Z</dcterms:modified>
</cp:coreProperties>
</file>