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DD" w:rsidRDefault="00265BDD" w:rsidP="00265BDD">
      <w:r w:rsidRPr="0073301E">
        <w:t xml:space="preserve">Az. </w:t>
      </w:r>
      <w:r>
        <w:t>42-</w:t>
      </w:r>
      <w:r w:rsidR="0046587F">
        <w:t>170/3/2 – 367.1</w:t>
      </w:r>
    </w:p>
    <w:p w:rsidR="00265BDD" w:rsidRPr="0073301E" w:rsidRDefault="00265BDD" w:rsidP="00265BDD"/>
    <w:p w:rsidR="0046587F" w:rsidRPr="00715F33" w:rsidRDefault="00265BDD" w:rsidP="0046587F">
      <w:pPr>
        <w:pStyle w:val="Kopfzeile"/>
        <w:rPr>
          <w:b/>
        </w:rPr>
      </w:pPr>
      <w:r>
        <w:rPr>
          <w:b/>
        </w:rPr>
        <w:t xml:space="preserve">Antrag </w:t>
      </w:r>
      <w:r w:rsidR="0046587F">
        <w:rPr>
          <w:b/>
        </w:rPr>
        <w:t>der Bavaria Energie Park GmbH</w:t>
      </w:r>
      <w:r>
        <w:rPr>
          <w:b/>
        </w:rPr>
        <w:t>,</w:t>
      </w:r>
      <w:r w:rsidRPr="00715F33">
        <w:rPr>
          <w:b/>
        </w:rPr>
        <w:t xml:space="preserve"> </w:t>
      </w:r>
      <w:proofErr w:type="spellStart"/>
      <w:r w:rsidR="0046587F">
        <w:rPr>
          <w:b/>
        </w:rPr>
        <w:t>Reisbacher</w:t>
      </w:r>
      <w:proofErr w:type="spellEnd"/>
      <w:r w:rsidR="0046587F">
        <w:rPr>
          <w:b/>
        </w:rPr>
        <w:t xml:space="preserve"> Straße 46, 84163 </w:t>
      </w:r>
      <w:proofErr w:type="spellStart"/>
      <w:r w:rsidR="0046587F">
        <w:rPr>
          <w:b/>
        </w:rPr>
        <w:t>Marklkofen</w:t>
      </w:r>
      <w:proofErr w:type="spellEnd"/>
      <w:r>
        <w:rPr>
          <w:b/>
        </w:rPr>
        <w:t xml:space="preserve">, </w:t>
      </w:r>
      <w:r w:rsidRPr="00715F33">
        <w:rPr>
          <w:b/>
        </w:rPr>
        <w:t xml:space="preserve">auf </w:t>
      </w:r>
      <w:r w:rsidRPr="00715F33">
        <w:rPr>
          <w:b/>
        </w:rPr>
        <w:br/>
        <w:t>Erteilung der immissionsschutzrechtlichen Genehmigung zur wesentlichen Ände</w:t>
      </w:r>
      <w:r w:rsidR="0046587F">
        <w:rPr>
          <w:b/>
        </w:rPr>
        <w:t xml:space="preserve">rung </w:t>
      </w:r>
      <w:r w:rsidRPr="00715F33">
        <w:rPr>
          <w:b/>
        </w:rPr>
        <w:t>der biologischen Behandlungsanlag</w:t>
      </w:r>
      <w:r>
        <w:rPr>
          <w:b/>
        </w:rPr>
        <w:t xml:space="preserve">e </w:t>
      </w:r>
      <w:r w:rsidR="0046587F">
        <w:rPr>
          <w:b/>
        </w:rPr>
        <w:t xml:space="preserve">auf den Grundstücken </w:t>
      </w:r>
      <w:proofErr w:type="spellStart"/>
      <w:r w:rsidR="0046587F">
        <w:rPr>
          <w:b/>
        </w:rPr>
        <w:t>Fl.Nrn</w:t>
      </w:r>
      <w:proofErr w:type="spellEnd"/>
      <w:r w:rsidR="0046587F">
        <w:rPr>
          <w:b/>
        </w:rPr>
        <w:t xml:space="preserve">. 867/2 und 867/5 der Gemarkung </w:t>
      </w:r>
      <w:proofErr w:type="spellStart"/>
      <w:r w:rsidR="0046587F">
        <w:rPr>
          <w:b/>
        </w:rPr>
        <w:t>Marklkofen</w:t>
      </w:r>
      <w:proofErr w:type="spellEnd"/>
    </w:p>
    <w:p w:rsidR="00265BDD" w:rsidRDefault="00265BDD" w:rsidP="00265BDD">
      <w:pPr>
        <w:pStyle w:val="Kopfzeile"/>
        <w:rPr>
          <w:b/>
        </w:rPr>
      </w:pPr>
    </w:p>
    <w:p w:rsidR="00265BDD" w:rsidRPr="00715F33" w:rsidRDefault="00265BDD" w:rsidP="00265BDD">
      <w:pPr>
        <w:pStyle w:val="Kopfzeile"/>
        <w:rPr>
          <w:b/>
        </w:rPr>
      </w:pPr>
    </w:p>
    <w:p w:rsidR="00265BDD" w:rsidRPr="0073301E" w:rsidRDefault="00265BDD" w:rsidP="00265BDD"/>
    <w:p w:rsidR="00265BDD" w:rsidRPr="0073301E" w:rsidRDefault="00265BDD" w:rsidP="00265BDD">
      <w:pPr>
        <w:numPr>
          <w:ilvl w:val="0"/>
          <w:numId w:val="1"/>
        </w:numPr>
        <w:rPr>
          <w:b/>
        </w:rPr>
      </w:pPr>
      <w:r w:rsidRPr="0073301E">
        <w:rPr>
          <w:b/>
        </w:rPr>
        <w:t>Aktenvermerk</w:t>
      </w:r>
      <w:r w:rsidRPr="0073301E">
        <w:rPr>
          <w:b/>
        </w:rPr>
        <w:br/>
      </w:r>
    </w:p>
    <w:p w:rsidR="00265BDD" w:rsidRPr="0073301E" w:rsidRDefault="0046587F" w:rsidP="00265BDD">
      <w:pPr>
        <w:pStyle w:val="Kopfzeile"/>
        <w:rPr>
          <w:szCs w:val="24"/>
        </w:rPr>
      </w:pPr>
      <w:r>
        <w:rPr>
          <w:szCs w:val="24"/>
        </w:rPr>
        <w:t xml:space="preserve">Die Bavaria </w:t>
      </w:r>
      <w:proofErr w:type="spellStart"/>
      <w:r>
        <w:rPr>
          <w:szCs w:val="24"/>
        </w:rPr>
        <w:t>Energy</w:t>
      </w:r>
      <w:proofErr w:type="spellEnd"/>
      <w:r>
        <w:rPr>
          <w:szCs w:val="24"/>
        </w:rPr>
        <w:t xml:space="preserve"> Park GmbH </w:t>
      </w:r>
      <w:r w:rsidR="00265BDD" w:rsidRPr="0073301E">
        <w:rPr>
          <w:szCs w:val="24"/>
        </w:rPr>
        <w:t>beantragt folgende wesentliche Änderun</w:t>
      </w:r>
      <w:r>
        <w:rPr>
          <w:szCs w:val="24"/>
        </w:rPr>
        <w:t>gen an der Biogasanlage:</w:t>
      </w:r>
      <w:r w:rsidR="00265BDD" w:rsidRPr="0073301E">
        <w:rPr>
          <w:szCs w:val="24"/>
        </w:rPr>
        <w:br/>
      </w:r>
    </w:p>
    <w:p w:rsidR="0046587F" w:rsidRPr="00912AC7" w:rsidRDefault="0046587F" w:rsidP="0046587F">
      <w:pPr>
        <w:pStyle w:val="Kopfzeile"/>
        <w:numPr>
          <w:ilvl w:val="0"/>
          <w:numId w:val="4"/>
        </w:numPr>
      </w:pPr>
      <w:r w:rsidRPr="00912AC7">
        <w:t>Erhöhung der jährlichen Einsatzstoffmenge auf 10.500 t/Jahr</w:t>
      </w:r>
    </w:p>
    <w:p w:rsidR="0046587F" w:rsidRPr="00912AC7" w:rsidRDefault="0046587F" w:rsidP="0046587F">
      <w:pPr>
        <w:pStyle w:val="Kopfzeile"/>
        <w:numPr>
          <w:ilvl w:val="0"/>
          <w:numId w:val="4"/>
        </w:numPr>
      </w:pPr>
      <w:r w:rsidRPr="00912AC7">
        <w:t>Erhöhung der jährlichen Rohbiogasmenge auf 2,29 Mio. Nm³/Jahr</w:t>
      </w:r>
    </w:p>
    <w:p w:rsidR="0046587F" w:rsidRDefault="0046587F" w:rsidP="0046587F">
      <w:pPr>
        <w:pStyle w:val="Kopfzeile"/>
        <w:numPr>
          <w:ilvl w:val="0"/>
          <w:numId w:val="4"/>
        </w:numPr>
      </w:pPr>
      <w:r w:rsidRPr="00912AC7">
        <w:t>Baurechtliche Tekturen</w:t>
      </w:r>
      <w:r>
        <w:t xml:space="preserve"> (Nebengebäude, Sanitärcontainer, Lagerraum, Garage)</w:t>
      </w:r>
    </w:p>
    <w:p w:rsidR="0046587F" w:rsidRDefault="0046587F" w:rsidP="0046587F">
      <w:pPr>
        <w:pStyle w:val="Kopfzeile"/>
        <w:numPr>
          <w:ilvl w:val="0"/>
          <w:numId w:val="4"/>
        </w:numPr>
      </w:pPr>
      <w:proofErr w:type="spellStart"/>
      <w:r>
        <w:t>Havariemauer</w:t>
      </w:r>
      <w:proofErr w:type="spellEnd"/>
      <w:r>
        <w:t xml:space="preserve"> (bereits baurechtlich genehmigt)</w:t>
      </w:r>
    </w:p>
    <w:p w:rsidR="0046587F" w:rsidRDefault="0046587F" w:rsidP="0046587F">
      <w:pPr>
        <w:pStyle w:val="Kopfzeile"/>
        <w:numPr>
          <w:ilvl w:val="0"/>
          <w:numId w:val="4"/>
        </w:numPr>
      </w:pPr>
      <w:r>
        <w:t>Neue Gasfackel mit einer max. Durchsatzleistung von 500 Nm³/h</w:t>
      </w:r>
    </w:p>
    <w:p w:rsidR="00265BDD" w:rsidRPr="0073301E" w:rsidRDefault="00265BDD" w:rsidP="00265BDD">
      <w:pPr>
        <w:pStyle w:val="Kopfzeile"/>
        <w:rPr>
          <w:szCs w:val="24"/>
        </w:rPr>
      </w:pPr>
    </w:p>
    <w:p w:rsidR="00265BDD" w:rsidRDefault="00265BDD" w:rsidP="00265BDD">
      <w:pPr>
        <w:jc w:val="both"/>
        <w:rPr>
          <w:kern w:val="16"/>
        </w:rPr>
      </w:pPr>
      <w:r w:rsidRPr="0073301E">
        <w:rPr>
          <w:kern w:val="16"/>
        </w:rPr>
        <w:t>Durch den Träger des Vorhabens wurden die wesentlichen Angaben nach Anlage 2 im Rahmen des Zulassungsverfahrens gemacht.</w:t>
      </w:r>
    </w:p>
    <w:p w:rsidR="00265BDD" w:rsidRDefault="00265BDD" w:rsidP="00265BDD">
      <w:pPr>
        <w:jc w:val="both"/>
        <w:rPr>
          <w:kern w:val="16"/>
        </w:rPr>
      </w:pPr>
    </w:p>
    <w:p w:rsidR="00265BDD" w:rsidRDefault="00265BDD" w:rsidP="00265BDD">
      <w:pPr>
        <w:jc w:val="both"/>
        <w:rPr>
          <w:kern w:val="16"/>
        </w:rPr>
      </w:pPr>
      <w:r>
        <w:rPr>
          <w:kern w:val="16"/>
        </w:rPr>
        <w:t>Die Änderungen an der Anlage können mit</w:t>
      </w:r>
    </w:p>
    <w:p w:rsidR="00265BDD" w:rsidRDefault="00265BDD" w:rsidP="00265BDD">
      <w:pPr>
        <w:pStyle w:val="Listenabsatz"/>
        <w:numPr>
          <w:ilvl w:val="0"/>
          <w:numId w:val="3"/>
        </w:numPr>
        <w:jc w:val="both"/>
        <w:rPr>
          <w:kern w:val="16"/>
        </w:rPr>
      </w:pPr>
      <w:r>
        <w:rPr>
          <w:kern w:val="16"/>
        </w:rPr>
        <w:t>Geräuschemissionen</w:t>
      </w:r>
    </w:p>
    <w:p w:rsidR="00265BDD" w:rsidRDefault="00265BDD" w:rsidP="00265BDD">
      <w:pPr>
        <w:pStyle w:val="Listenabsatz"/>
        <w:numPr>
          <w:ilvl w:val="0"/>
          <w:numId w:val="3"/>
        </w:numPr>
        <w:jc w:val="both"/>
        <w:rPr>
          <w:kern w:val="16"/>
        </w:rPr>
      </w:pPr>
      <w:r>
        <w:rPr>
          <w:kern w:val="16"/>
        </w:rPr>
        <w:t>Luftverunreinigungen durch Schad-und/oder Geruchsstoffe</w:t>
      </w:r>
    </w:p>
    <w:p w:rsidR="00265BDD" w:rsidRDefault="00265BDD" w:rsidP="00265BDD">
      <w:pPr>
        <w:jc w:val="both"/>
        <w:rPr>
          <w:kern w:val="16"/>
        </w:rPr>
      </w:pPr>
      <w:r>
        <w:rPr>
          <w:kern w:val="16"/>
        </w:rPr>
        <w:t>verbunden sein.</w:t>
      </w:r>
    </w:p>
    <w:p w:rsidR="00265BDD" w:rsidRPr="001B324D" w:rsidRDefault="00265BDD" w:rsidP="00265BDD">
      <w:pPr>
        <w:jc w:val="both"/>
        <w:rPr>
          <w:kern w:val="16"/>
        </w:rPr>
      </w:pPr>
    </w:p>
    <w:p w:rsidR="00265BDD" w:rsidRDefault="00265BDD" w:rsidP="00265BDD">
      <w:pPr>
        <w:jc w:val="both"/>
        <w:rPr>
          <w:kern w:val="16"/>
        </w:rPr>
      </w:pPr>
      <w:r w:rsidRPr="0073301E">
        <w:rPr>
          <w:kern w:val="16"/>
        </w:rPr>
        <w:t xml:space="preserve">Gemäß § 9 Absatz 2 Nr. 2, </w:t>
      </w:r>
      <w:r>
        <w:rPr>
          <w:kern w:val="16"/>
        </w:rPr>
        <w:t xml:space="preserve"> </w:t>
      </w:r>
      <w:r w:rsidRPr="0073301E">
        <w:rPr>
          <w:kern w:val="16"/>
        </w:rPr>
        <w:t xml:space="preserve">Abs. 4 </w:t>
      </w:r>
      <w:r>
        <w:rPr>
          <w:kern w:val="16"/>
        </w:rPr>
        <w:t>UVPG und Ziffer</w:t>
      </w:r>
      <w:r w:rsidRPr="0073301E">
        <w:rPr>
          <w:kern w:val="16"/>
        </w:rPr>
        <w:t xml:space="preserve"> 8.4.2.2 der Anlage 1 zum UVPG besteht für ein Änderungsvorhaben, für das bisher keine Umweltverträglichkeitsprüfung durchgeführt worden ist, die UVP-Pflicht, wenn das geänderte Vorhaben einen in Anlage 1 angegebenen </w:t>
      </w:r>
      <w:proofErr w:type="spellStart"/>
      <w:r w:rsidRPr="0073301E">
        <w:rPr>
          <w:kern w:val="16"/>
        </w:rPr>
        <w:t>Prüfwert</w:t>
      </w:r>
      <w:proofErr w:type="spellEnd"/>
      <w:r w:rsidRPr="0073301E">
        <w:rPr>
          <w:kern w:val="16"/>
        </w:rPr>
        <w:t xml:space="preserve"> für die Vorprüfung erstmals oder erneut erreicht oder überschreitet und eine Vorprüfung ergibt, dass die Änderung erhebliche nachteilige Umweltauswirkungen hervorrufen kann, die nach § 25 Abs. 2 bei der Zulassungsentscheidung zu berücksichtigen wären.</w:t>
      </w:r>
    </w:p>
    <w:p w:rsidR="00265BDD" w:rsidRPr="0073301E" w:rsidRDefault="00265BDD" w:rsidP="00265BDD">
      <w:pPr>
        <w:jc w:val="both"/>
        <w:rPr>
          <w:kern w:val="16"/>
        </w:rPr>
      </w:pPr>
    </w:p>
    <w:p w:rsidR="00265BDD" w:rsidRPr="0073301E" w:rsidRDefault="00265BDD" w:rsidP="00265BDD">
      <w:pPr>
        <w:jc w:val="both"/>
        <w:rPr>
          <w:kern w:val="16"/>
        </w:rPr>
      </w:pPr>
      <w:r w:rsidRPr="0073301E">
        <w:rPr>
          <w:kern w:val="16"/>
        </w:rPr>
        <w:t>Die Gesamtanlage</w:t>
      </w:r>
      <w:r>
        <w:rPr>
          <w:kern w:val="16"/>
        </w:rPr>
        <w:t xml:space="preserve"> (das geänderte Vorhaben)</w:t>
      </w:r>
      <w:r w:rsidRPr="0073301E">
        <w:rPr>
          <w:kern w:val="16"/>
        </w:rPr>
        <w:t xml:space="preserve"> überschreitet </w:t>
      </w:r>
      <w:r>
        <w:rPr>
          <w:kern w:val="16"/>
        </w:rPr>
        <w:t>durch die immissionsschutzrechtlich relevante wesentliche Änderung erneut den</w:t>
      </w:r>
      <w:r w:rsidRPr="0073301E">
        <w:rPr>
          <w:kern w:val="16"/>
        </w:rPr>
        <w:t xml:space="preserve"> </w:t>
      </w:r>
      <w:proofErr w:type="spellStart"/>
      <w:r w:rsidRPr="0073301E">
        <w:rPr>
          <w:kern w:val="16"/>
        </w:rPr>
        <w:t>Pr</w:t>
      </w:r>
      <w:r>
        <w:rPr>
          <w:kern w:val="16"/>
        </w:rPr>
        <w:t>üfwert</w:t>
      </w:r>
      <w:proofErr w:type="spellEnd"/>
      <w:r>
        <w:rPr>
          <w:kern w:val="16"/>
        </w:rPr>
        <w:t xml:space="preserve"> nach Ziffer</w:t>
      </w:r>
      <w:r w:rsidRPr="0073301E">
        <w:rPr>
          <w:kern w:val="16"/>
        </w:rPr>
        <w:t xml:space="preserve"> 8.4.2.2</w:t>
      </w:r>
      <w:r>
        <w:rPr>
          <w:kern w:val="16"/>
        </w:rPr>
        <w:t xml:space="preserve"> der Anlage 1 zum UVPG</w:t>
      </w:r>
      <w:r w:rsidRPr="0073301E">
        <w:rPr>
          <w:kern w:val="16"/>
        </w:rPr>
        <w:t xml:space="preserve">. </w:t>
      </w:r>
      <w:r>
        <w:rPr>
          <w:kern w:val="16"/>
        </w:rPr>
        <w:t>Es war somit eine</w:t>
      </w:r>
      <w:r w:rsidRPr="0073301E">
        <w:rPr>
          <w:kern w:val="16"/>
        </w:rPr>
        <w:t xml:space="preserve"> </w:t>
      </w:r>
      <w:r w:rsidRPr="0073301E">
        <w:rPr>
          <w:kern w:val="16"/>
          <w:u w:val="single"/>
        </w:rPr>
        <w:t>standortbezogene</w:t>
      </w:r>
      <w:r w:rsidRPr="0073301E">
        <w:rPr>
          <w:kern w:val="16"/>
        </w:rPr>
        <w:t xml:space="preserve"> Vorprüfung im Rahmen dieser Beantragung durchzuführen</w:t>
      </w:r>
      <w:r>
        <w:rPr>
          <w:kern w:val="16"/>
        </w:rPr>
        <w:t>.</w:t>
      </w:r>
    </w:p>
    <w:p w:rsidR="00265BDD" w:rsidRPr="0073301E" w:rsidRDefault="00265BDD" w:rsidP="00265BDD">
      <w:pPr>
        <w:rPr>
          <w:kern w:val="16"/>
        </w:rPr>
      </w:pPr>
      <w:r w:rsidRPr="0073301E">
        <w:rPr>
          <w:kern w:val="16"/>
        </w:rPr>
        <w:t>Gemä</w:t>
      </w:r>
      <w:r>
        <w:rPr>
          <w:kern w:val="16"/>
        </w:rPr>
        <w:t>ß § 7 Abs. 2 UVPG sowie Ziffer</w:t>
      </w:r>
      <w:r w:rsidRPr="0073301E">
        <w:rPr>
          <w:kern w:val="16"/>
        </w:rPr>
        <w:t xml:space="preserve"> 8.4.2.2 der Anlage</w:t>
      </w:r>
      <w:r>
        <w:rPr>
          <w:kern w:val="16"/>
        </w:rPr>
        <w:t xml:space="preserve"> 1 zum UVPG ist im Rahmen der</w:t>
      </w:r>
      <w:r w:rsidRPr="0073301E">
        <w:rPr>
          <w:kern w:val="16"/>
        </w:rPr>
        <w:t xml:space="preserve"> standortbezogenen Vorprüfung des Einzelfalles (überschlägige Prüfung) im ersten Schritt unter Berücksichtigung der in Anlage 3 Nummer 2.3 zum UVPG aufgeführten Schutzkriterien festzustellen, ob bei dem Vorhaben besondere örtliche Gegebenheiten vorliegen. Ist dies der Fall, prüft die Behörde im zweiten Schritt unter Berücksichtigung der in Anlage 3 aufgeführten Kriterien, ob das Vorhaben erhebliche nachteilige Umweltauswirkungen haben kann, die die besondere Empfindlichkeit oder die Schutzziele des Gebietes betreffen und deshalb die Verpflichtung zur Durchführung einer förmlichen Umweltverträglichkeitsprüfung nach den Vorschriften des UVPG besteht.</w:t>
      </w:r>
    </w:p>
    <w:p w:rsidR="00265BDD" w:rsidRPr="0073301E" w:rsidRDefault="00265BDD" w:rsidP="00265BDD">
      <w:pPr>
        <w:rPr>
          <w:kern w:val="16"/>
        </w:rPr>
      </w:pPr>
    </w:p>
    <w:p w:rsidR="002619FC" w:rsidRPr="002619FC" w:rsidRDefault="002619FC" w:rsidP="002619FC">
      <w:pPr>
        <w:pStyle w:val="Textkrper"/>
        <w:jc w:val="both"/>
        <w:rPr>
          <w:rFonts w:ascii="Times New Roman" w:hAnsi="Times New Roman"/>
          <w:sz w:val="24"/>
          <w:szCs w:val="24"/>
        </w:rPr>
      </w:pPr>
      <w:r w:rsidRPr="002619FC">
        <w:rPr>
          <w:rFonts w:ascii="Times New Roman" w:hAnsi="Times New Roman"/>
          <w:sz w:val="24"/>
          <w:szCs w:val="24"/>
        </w:rPr>
        <w:lastRenderedPageBreak/>
        <w:t xml:space="preserve">Da sämtliche Gärbehälter und Läger der Biogasanlage geschlossen ausgeführt sind beschränkt sich die Betrachtung von Ammoniakemissionen auf die Lagerung der festen Fraktion des separierten Gärrestes und des Hühnertrockenkots. Der Hühnertrockenkot wird auf einer überdachten Lagerfläche in der Maschinenhalle in geschlossenen Transportmulden gelagert. Der separierte </w:t>
      </w:r>
      <w:proofErr w:type="spellStart"/>
      <w:r w:rsidRPr="002619FC">
        <w:rPr>
          <w:rFonts w:ascii="Times New Roman" w:hAnsi="Times New Roman"/>
          <w:sz w:val="24"/>
          <w:szCs w:val="24"/>
        </w:rPr>
        <w:t>Gärrest</w:t>
      </w:r>
      <w:proofErr w:type="spellEnd"/>
      <w:r w:rsidRPr="002619FC">
        <w:rPr>
          <w:rFonts w:ascii="Times New Roman" w:hAnsi="Times New Roman"/>
          <w:sz w:val="24"/>
          <w:szCs w:val="24"/>
        </w:rPr>
        <w:t xml:space="preserve"> wird laut Antragsunterlagen luftdicht mittels Folien/Planen gelagert, somit ist von keinen nennenswerten Ammoniakemissionen auszugehen. </w:t>
      </w:r>
    </w:p>
    <w:p w:rsidR="002619FC" w:rsidRPr="002619FC" w:rsidRDefault="002619FC" w:rsidP="002619FC">
      <w:pPr>
        <w:pStyle w:val="Textkrper"/>
        <w:jc w:val="both"/>
        <w:rPr>
          <w:rFonts w:ascii="Times New Roman" w:hAnsi="Times New Roman"/>
          <w:sz w:val="24"/>
          <w:szCs w:val="24"/>
        </w:rPr>
      </w:pPr>
      <w:r w:rsidRPr="002619FC">
        <w:rPr>
          <w:rFonts w:ascii="Times New Roman" w:hAnsi="Times New Roman"/>
          <w:sz w:val="24"/>
          <w:szCs w:val="24"/>
        </w:rPr>
        <w:t xml:space="preserve">Möglicherweise relevante Beeinträchtigungen für naturschutzrechtlich geschützte Gebiete könnten von Verbrennungsmotoren grundsätzlich durch </w:t>
      </w:r>
      <w:proofErr w:type="spellStart"/>
      <w:r w:rsidRPr="002619FC">
        <w:rPr>
          <w:rFonts w:ascii="Times New Roman" w:hAnsi="Times New Roman"/>
          <w:sz w:val="24"/>
          <w:szCs w:val="24"/>
        </w:rPr>
        <w:t>NO</w:t>
      </w:r>
      <w:r w:rsidRPr="002619FC">
        <w:rPr>
          <w:rFonts w:ascii="Times New Roman" w:hAnsi="Times New Roman"/>
          <w:sz w:val="24"/>
          <w:szCs w:val="24"/>
          <w:vertAlign w:val="subscript"/>
        </w:rPr>
        <w:t>x</w:t>
      </w:r>
      <w:proofErr w:type="spellEnd"/>
      <w:r w:rsidRPr="002619FC">
        <w:rPr>
          <w:rFonts w:ascii="Times New Roman" w:hAnsi="Times New Roman"/>
          <w:sz w:val="24"/>
          <w:szCs w:val="24"/>
        </w:rPr>
        <w:t xml:space="preserve">- oder </w:t>
      </w:r>
      <w:proofErr w:type="spellStart"/>
      <w:r w:rsidRPr="002619FC">
        <w:rPr>
          <w:rFonts w:ascii="Times New Roman" w:hAnsi="Times New Roman"/>
          <w:sz w:val="24"/>
          <w:szCs w:val="24"/>
        </w:rPr>
        <w:t>SO</w:t>
      </w:r>
      <w:r w:rsidRPr="002619FC">
        <w:rPr>
          <w:rFonts w:ascii="Times New Roman" w:hAnsi="Times New Roman"/>
          <w:sz w:val="24"/>
          <w:szCs w:val="24"/>
          <w:vertAlign w:val="subscript"/>
        </w:rPr>
        <w:t>x</w:t>
      </w:r>
      <w:proofErr w:type="spellEnd"/>
      <w:r w:rsidRPr="002619FC">
        <w:rPr>
          <w:rFonts w:ascii="Times New Roman" w:hAnsi="Times New Roman"/>
          <w:sz w:val="24"/>
          <w:szCs w:val="24"/>
        </w:rPr>
        <w:t xml:space="preserve">-Emissionen hervorgerufen werden. Die Emissionsfrachten von </w:t>
      </w:r>
      <w:proofErr w:type="spellStart"/>
      <w:r w:rsidRPr="002619FC">
        <w:rPr>
          <w:rFonts w:ascii="Times New Roman" w:hAnsi="Times New Roman"/>
          <w:sz w:val="24"/>
          <w:szCs w:val="24"/>
        </w:rPr>
        <w:t>NO</w:t>
      </w:r>
      <w:r w:rsidRPr="002619FC">
        <w:rPr>
          <w:rFonts w:ascii="Times New Roman" w:hAnsi="Times New Roman"/>
          <w:sz w:val="24"/>
          <w:szCs w:val="24"/>
          <w:vertAlign w:val="subscript"/>
        </w:rPr>
        <w:t>x</w:t>
      </w:r>
      <w:proofErr w:type="spellEnd"/>
      <w:r w:rsidRPr="002619FC">
        <w:rPr>
          <w:rFonts w:ascii="Times New Roman" w:hAnsi="Times New Roman"/>
          <w:sz w:val="24"/>
          <w:szCs w:val="24"/>
        </w:rPr>
        <w:t xml:space="preserve"> und </w:t>
      </w:r>
      <w:proofErr w:type="spellStart"/>
      <w:r w:rsidRPr="002619FC">
        <w:rPr>
          <w:rFonts w:ascii="Times New Roman" w:hAnsi="Times New Roman"/>
          <w:sz w:val="24"/>
          <w:szCs w:val="24"/>
        </w:rPr>
        <w:t>SO</w:t>
      </w:r>
      <w:r w:rsidRPr="002619FC">
        <w:rPr>
          <w:rFonts w:ascii="Times New Roman" w:hAnsi="Times New Roman"/>
          <w:sz w:val="24"/>
          <w:szCs w:val="24"/>
          <w:vertAlign w:val="subscript"/>
        </w:rPr>
        <w:t>x</w:t>
      </w:r>
      <w:proofErr w:type="spellEnd"/>
      <w:r w:rsidRPr="002619FC">
        <w:rPr>
          <w:rFonts w:ascii="Times New Roman" w:hAnsi="Times New Roman"/>
          <w:sz w:val="24"/>
          <w:szCs w:val="24"/>
        </w:rPr>
        <w:t xml:space="preserve"> aller bestehenden Motoren sind als sehr gering anzusehen und unterschreiten die Bagatellmassenströme nach Nr. 4.6.1.1 der TA Luft um ein Vielfaches. Durch die günstigen Ableitbedingungen, insbesondere einer ausgeprägten dynamischen und thermischen Abgasfahnenüberhöhung ist von einer starken Verdünnung auszugehen, wodurch nicht mit Immissionen in relevanter Höhe zu rechnen ist. Auch entsprechend Nr. 4.6.1.1 der TA Luft ist bei Unterschreitung der Bagatellmassenströme vorgesehen</w:t>
      </w:r>
      <w:r w:rsidR="00BE607B">
        <w:rPr>
          <w:rFonts w:ascii="Times New Roman" w:hAnsi="Times New Roman"/>
          <w:sz w:val="24"/>
          <w:szCs w:val="24"/>
        </w:rPr>
        <w:t>,</w:t>
      </w:r>
      <w:r w:rsidRPr="002619FC">
        <w:rPr>
          <w:rFonts w:ascii="Times New Roman" w:hAnsi="Times New Roman"/>
          <w:sz w:val="24"/>
          <w:szCs w:val="24"/>
        </w:rPr>
        <w:t xml:space="preserve"> im Regelfall auf eine Ermittlung der Immissionskenngrößen im Teil 4 der TA Luft zu verzichten. Der Anlage ist d</w:t>
      </w:r>
      <w:r w:rsidR="00BE607B">
        <w:rPr>
          <w:rFonts w:ascii="Times New Roman" w:hAnsi="Times New Roman"/>
          <w:sz w:val="24"/>
          <w:szCs w:val="24"/>
        </w:rPr>
        <w:t>aher für konzentrationsbezogene</w:t>
      </w:r>
      <w:bookmarkStart w:id="0" w:name="_GoBack"/>
      <w:bookmarkEnd w:id="0"/>
      <w:r w:rsidRPr="002619FC">
        <w:rPr>
          <w:rFonts w:ascii="Times New Roman" w:hAnsi="Times New Roman"/>
          <w:sz w:val="24"/>
          <w:szCs w:val="24"/>
        </w:rPr>
        <w:t xml:space="preserve"> Immissionen kein relevanter Einwirkungsbereich zuzuordnen, in welchem überhaupt eine Prüfung auf besondere örtliche Gegebenheiten stattfinden könnte.</w:t>
      </w:r>
    </w:p>
    <w:p w:rsidR="002619FC" w:rsidRPr="002619FC" w:rsidRDefault="002619FC" w:rsidP="002619FC">
      <w:pPr>
        <w:pStyle w:val="Textkrper"/>
        <w:jc w:val="both"/>
        <w:rPr>
          <w:rFonts w:ascii="Times New Roman" w:hAnsi="Times New Roman"/>
          <w:sz w:val="24"/>
          <w:szCs w:val="24"/>
        </w:rPr>
      </w:pPr>
    </w:p>
    <w:p w:rsidR="002619FC" w:rsidRPr="002619FC" w:rsidRDefault="002619FC" w:rsidP="002619FC">
      <w:pPr>
        <w:pStyle w:val="Textkrper"/>
        <w:jc w:val="both"/>
        <w:rPr>
          <w:rFonts w:ascii="Times New Roman" w:hAnsi="Times New Roman"/>
          <w:sz w:val="24"/>
          <w:szCs w:val="24"/>
        </w:rPr>
      </w:pPr>
      <w:r w:rsidRPr="002619FC">
        <w:rPr>
          <w:rFonts w:ascii="Times New Roman" w:hAnsi="Times New Roman"/>
          <w:sz w:val="24"/>
          <w:szCs w:val="24"/>
        </w:rPr>
        <w:t xml:space="preserve">Für Stickstoffdeposition sind im besagten Teil 4 der TA Luft jedoch keine Immissionsrichtwerte festgelegt. In Nr. 4.8 der TA Luft heißt es hierzu, dass beim Vorliegen hinreichender Anhaltspunkte eine Sonderfallprüfung durchzuführen ist. Dabei sei zunächst abzuschätzen, ob die Anlage maßgeblich zur Stickstoffdeposition beiträgt. Der LAI (Bund/Länder-Arbeitsgemeinschaft Immissionsschutz) hat hierfür als Arbeitshilfe den Leitfaden zur Ermittlung und Bewertung von Stickstoffeinträgen vom 01.03.2012 erarbeitet. Darin werden zur vereinfachten Beurteilung auch anlagenbezogene </w:t>
      </w:r>
      <w:proofErr w:type="spellStart"/>
      <w:r w:rsidRPr="002619FC">
        <w:rPr>
          <w:rFonts w:ascii="Times New Roman" w:hAnsi="Times New Roman"/>
          <w:sz w:val="24"/>
          <w:szCs w:val="24"/>
        </w:rPr>
        <w:t>Abschneidekriterien</w:t>
      </w:r>
      <w:proofErr w:type="spellEnd"/>
      <w:r w:rsidRPr="002619FC">
        <w:rPr>
          <w:rFonts w:ascii="Times New Roman" w:hAnsi="Times New Roman"/>
          <w:sz w:val="24"/>
          <w:szCs w:val="24"/>
        </w:rPr>
        <w:t xml:space="preserve"> genannt, bei deren Einhaltung nicht von relevanten Beeinträchtigungen durch die antragsgegenständliche Anlage auszugehen ist. Für empfindliche terrestrische Ökosysteme wird ein </w:t>
      </w:r>
      <w:proofErr w:type="spellStart"/>
      <w:r w:rsidRPr="002619FC">
        <w:rPr>
          <w:rFonts w:ascii="Times New Roman" w:hAnsi="Times New Roman"/>
          <w:sz w:val="24"/>
          <w:szCs w:val="24"/>
        </w:rPr>
        <w:t>Abschneidekriterium</w:t>
      </w:r>
      <w:proofErr w:type="spellEnd"/>
      <w:r w:rsidRPr="002619FC">
        <w:rPr>
          <w:rFonts w:ascii="Times New Roman" w:hAnsi="Times New Roman"/>
          <w:sz w:val="24"/>
          <w:szCs w:val="24"/>
        </w:rPr>
        <w:t xml:space="preserve"> von 5 kg N/ha*a und für aquatische Ökosysteme von 3 kg N/ha*a genannt. </w:t>
      </w:r>
    </w:p>
    <w:p w:rsidR="002619FC" w:rsidRPr="002619FC" w:rsidRDefault="002619FC" w:rsidP="002619FC">
      <w:pPr>
        <w:pStyle w:val="Textkrper"/>
        <w:jc w:val="both"/>
        <w:rPr>
          <w:rFonts w:ascii="Times New Roman" w:hAnsi="Times New Roman"/>
          <w:sz w:val="24"/>
          <w:szCs w:val="24"/>
        </w:rPr>
      </w:pPr>
    </w:p>
    <w:p w:rsidR="002619FC" w:rsidRPr="002619FC" w:rsidRDefault="002619FC" w:rsidP="002619FC">
      <w:pPr>
        <w:pStyle w:val="Textkrper"/>
        <w:jc w:val="both"/>
        <w:rPr>
          <w:rFonts w:ascii="Times New Roman" w:hAnsi="Times New Roman"/>
          <w:sz w:val="24"/>
          <w:szCs w:val="24"/>
        </w:rPr>
      </w:pPr>
      <w:r w:rsidRPr="002619FC">
        <w:rPr>
          <w:rFonts w:ascii="Times New Roman" w:hAnsi="Times New Roman"/>
          <w:sz w:val="24"/>
          <w:szCs w:val="24"/>
        </w:rPr>
        <w:t xml:space="preserve">Aus einer vorliegenden Vergleichsrechnung einer ähnlichen Anlage kann geschlossen werden, dass bei der antragsgegenständlichen Anlage eine deutliche Unterschreitung der im LAI-Leitfaden genannten </w:t>
      </w:r>
      <w:proofErr w:type="spellStart"/>
      <w:r w:rsidRPr="002619FC">
        <w:rPr>
          <w:rFonts w:ascii="Times New Roman" w:hAnsi="Times New Roman"/>
          <w:sz w:val="24"/>
          <w:szCs w:val="24"/>
        </w:rPr>
        <w:t>Abschneidekriterien</w:t>
      </w:r>
      <w:proofErr w:type="spellEnd"/>
      <w:r w:rsidRPr="002619FC">
        <w:rPr>
          <w:rFonts w:ascii="Times New Roman" w:hAnsi="Times New Roman"/>
          <w:sz w:val="24"/>
          <w:szCs w:val="24"/>
        </w:rPr>
        <w:t xml:space="preserve"> zu erwarten ist, womit nicht mit Beeinträchtigungen durch Stickstoffdeposition zu rechnen ist. Auch für empfindliche terrestrische oder aquatische Ökosysteme kann der Anlage daher kein relevanter Einwirkungsbereich zugeordnet werden, in welchem eine Prüfung auf besondere örtliche Gegebenheiten erfolgen könnte.</w:t>
      </w:r>
    </w:p>
    <w:p w:rsidR="002619FC" w:rsidRPr="002619FC" w:rsidRDefault="002619FC" w:rsidP="002619FC">
      <w:pPr>
        <w:pStyle w:val="Textkrper"/>
        <w:jc w:val="both"/>
        <w:rPr>
          <w:rFonts w:ascii="Times New Roman" w:hAnsi="Times New Roman"/>
          <w:sz w:val="24"/>
          <w:szCs w:val="24"/>
        </w:rPr>
      </w:pPr>
    </w:p>
    <w:p w:rsidR="002619FC" w:rsidRPr="002619FC" w:rsidRDefault="002619FC" w:rsidP="002619FC">
      <w:pPr>
        <w:pStyle w:val="Textkrper"/>
        <w:jc w:val="both"/>
        <w:rPr>
          <w:rFonts w:ascii="Times New Roman" w:hAnsi="Times New Roman"/>
          <w:sz w:val="24"/>
          <w:szCs w:val="24"/>
        </w:rPr>
      </w:pPr>
      <w:r w:rsidRPr="002619FC">
        <w:rPr>
          <w:rFonts w:ascii="Times New Roman" w:hAnsi="Times New Roman"/>
          <w:sz w:val="24"/>
          <w:szCs w:val="24"/>
        </w:rPr>
        <w:t xml:space="preserve">Lediglich Natura 2000-, insbesondere FFH-Gebiete sind gemäß dem LAI-Leitfaden von der Anwendung obig genannter </w:t>
      </w:r>
      <w:proofErr w:type="spellStart"/>
      <w:r w:rsidRPr="002619FC">
        <w:rPr>
          <w:rFonts w:ascii="Times New Roman" w:hAnsi="Times New Roman"/>
          <w:sz w:val="24"/>
          <w:szCs w:val="24"/>
        </w:rPr>
        <w:t>Abschneidekriterien</w:t>
      </w:r>
      <w:proofErr w:type="spellEnd"/>
      <w:r w:rsidRPr="002619FC">
        <w:rPr>
          <w:rFonts w:ascii="Times New Roman" w:hAnsi="Times New Roman"/>
          <w:sz w:val="24"/>
          <w:szCs w:val="24"/>
        </w:rPr>
        <w:t xml:space="preserve"> ausgenommen, da gemäß § 34 BNatSchG ein sog. „Verschlechterungsverbot“ gilt. Insofern ist zur Sicherheit das Vorhandensein von FFH-Gebieten innerhalb eines Einwirkungsbereichs von 1 km Radius um die Anlage zu untersuchen. </w:t>
      </w:r>
    </w:p>
    <w:p w:rsidR="002619FC" w:rsidRPr="002619FC" w:rsidRDefault="002619FC" w:rsidP="002619FC">
      <w:pPr>
        <w:pStyle w:val="Textkrper"/>
        <w:jc w:val="both"/>
        <w:rPr>
          <w:rFonts w:ascii="Times New Roman" w:hAnsi="Times New Roman"/>
          <w:sz w:val="24"/>
          <w:szCs w:val="24"/>
        </w:rPr>
      </w:pPr>
      <w:r w:rsidRPr="002619FC">
        <w:rPr>
          <w:rFonts w:ascii="Times New Roman" w:hAnsi="Times New Roman"/>
          <w:sz w:val="24"/>
          <w:szCs w:val="24"/>
        </w:rPr>
        <w:t xml:space="preserve">Da entsprechend der Kartierung im Auskunftsprogramm des Rauminformationssystems der Landes- und Regionalplanung in Bayern keine relevanten schutzbedürftigen Gebiete im weiteren Umfeld (Umkreis von 1 km) um die Anlage ersichtlich sind und die Anlage von landwirtschaftlich genutzten Flächen umgeben ist, wird aus immissionsschutzfachlicher Sicht nicht davon ausgegangen, dass durch die Anlage nachteilige Umwelteinwirkungen auf Gebiete nach Nr. 2.3 der Anlage 3 des UVPG hervorgerufen werden können. Die Emissionsfrachten aller Motoren sind als gering anzusehen und unterschreiten die Bagatellmassenströme nach Nr. 4.6.1.1 der TA Luft deutlich. Durch die günstigen Ableitbedingungen, insbesondere einer ausgeprägten thermischen Abgasfahnenüberhöhung ist von einer starken Verdünnung auszugehen, wodurch eine Schadstoffdeposition in relevanter Konzentration nicht zu erwarten </w:t>
      </w:r>
      <w:r w:rsidRPr="002619FC">
        <w:rPr>
          <w:rFonts w:ascii="Times New Roman" w:hAnsi="Times New Roman"/>
          <w:sz w:val="24"/>
          <w:szCs w:val="24"/>
        </w:rPr>
        <w:lastRenderedPageBreak/>
        <w:t>ist. Durch die Biogaserzeugungsanlage sind ebenfalls keine relevanten Ammoniakemissionen und eine damit verbundene Stickstoffdeposition zu erwarten, da alle Behälter geschlossen und an eine Gasverwertung angeschlossen sind.</w:t>
      </w:r>
    </w:p>
    <w:p w:rsidR="00265BDD" w:rsidRPr="0073301E" w:rsidRDefault="00265BDD" w:rsidP="00265BDD">
      <w:pPr>
        <w:jc w:val="both"/>
        <w:rPr>
          <w:kern w:val="16"/>
        </w:rPr>
      </w:pPr>
      <w:r w:rsidRPr="0073301E">
        <w:rPr>
          <w:kern w:val="16"/>
        </w:rPr>
        <w:t>Nach der Stellungnahme der Fachkraft für Naturschutz sind erhebliche nachteilige Umwelt</w:t>
      </w:r>
      <w:r w:rsidR="002619FC">
        <w:rPr>
          <w:kern w:val="16"/>
        </w:rPr>
        <w:t xml:space="preserve">auswirkungen </w:t>
      </w:r>
      <w:r w:rsidRPr="0073301E">
        <w:rPr>
          <w:kern w:val="16"/>
        </w:rPr>
        <w:t xml:space="preserve">nicht zu erwarten. Der Eingriff in Natur und Landschaft wird durch die Umsetzung des </w:t>
      </w:r>
      <w:r>
        <w:rPr>
          <w:kern w:val="16"/>
        </w:rPr>
        <w:t xml:space="preserve">geforderten </w:t>
      </w:r>
      <w:r w:rsidRPr="0073301E">
        <w:rPr>
          <w:kern w:val="16"/>
        </w:rPr>
        <w:t>Landschaftspflegerischen Beg</w:t>
      </w:r>
      <w:r w:rsidR="002619FC">
        <w:rPr>
          <w:kern w:val="16"/>
        </w:rPr>
        <w:t>leitplanes bzw. durch die vorgesehenen Ausgleichsmaßnahmen</w:t>
      </w:r>
      <w:r w:rsidRPr="0073301E">
        <w:rPr>
          <w:kern w:val="16"/>
        </w:rPr>
        <w:t xml:space="preserve"> </w:t>
      </w:r>
      <w:r w:rsidR="002619FC">
        <w:rPr>
          <w:kern w:val="16"/>
        </w:rPr>
        <w:t xml:space="preserve">entsprechend </w:t>
      </w:r>
      <w:r w:rsidRPr="0073301E">
        <w:rPr>
          <w:kern w:val="16"/>
        </w:rPr>
        <w:t>ausgeglichen.</w:t>
      </w:r>
    </w:p>
    <w:p w:rsidR="00265BDD" w:rsidRDefault="00265BDD" w:rsidP="00265BDD">
      <w:pPr>
        <w:jc w:val="both"/>
        <w:rPr>
          <w:kern w:val="16"/>
        </w:rPr>
      </w:pPr>
    </w:p>
    <w:p w:rsidR="00265BDD" w:rsidRPr="00974AF3" w:rsidRDefault="00265BDD" w:rsidP="00265BDD">
      <w:pPr>
        <w:jc w:val="both"/>
        <w:rPr>
          <w:kern w:val="16"/>
        </w:rPr>
      </w:pPr>
    </w:p>
    <w:p w:rsidR="00265BDD" w:rsidRDefault="00265BDD" w:rsidP="00265BDD">
      <w:pPr>
        <w:jc w:val="both"/>
        <w:rPr>
          <w:kern w:val="16"/>
        </w:rPr>
      </w:pPr>
      <w:r w:rsidRPr="0073301E">
        <w:rPr>
          <w:kern w:val="16"/>
        </w:rPr>
        <w:t>Die Stellungnahmen der übrigen maßgebenden Fachstellen haben keine Anhaltspunkte dafür ergeben, dass durch die Änderungsmaßnahmen besonders empfindliche Gebiete nach Anlage 3 erheblich nachteilig betroffen sein könnten.</w:t>
      </w:r>
    </w:p>
    <w:p w:rsidR="00265BDD" w:rsidRDefault="00265BDD" w:rsidP="00265BDD">
      <w:pPr>
        <w:jc w:val="both"/>
        <w:rPr>
          <w:kern w:val="16"/>
        </w:rPr>
      </w:pPr>
    </w:p>
    <w:p w:rsidR="00265BDD" w:rsidRPr="00442ABC" w:rsidRDefault="00265BDD" w:rsidP="00265BDD">
      <w:pPr>
        <w:jc w:val="both"/>
        <w:rPr>
          <w:b/>
          <w:kern w:val="16"/>
        </w:rPr>
      </w:pPr>
      <w:r w:rsidRPr="00442ABC">
        <w:rPr>
          <w:b/>
          <w:kern w:val="16"/>
        </w:rPr>
        <w:t>Die Durchführung einer Umweltverträglichkeitsprüfung ist somit nicht erforderlich.</w:t>
      </w:r>
    </w:p>
    <w:p w:rsidR="00265BDD" w:rsidRPr="0073301E" w:rsidRDefault="00265BDD" w:rsidP="00265BDD">
      <w:pPr>
        <w:jc w:val="both"/>
        <w:rPr>
          <w:kern w:val="16"/>
        </w:rPr>
      </w:pPr>
    </w:p>
    <w:p w:rsidR="00265BDD" w:rsidRPr="0073301E" w:rsidRDefault="00265BDD" w:rsidP="00265BDD">
      <w:pPr>
        <w:jc w:val="both"/>
        <w:rPr>
          <w:kern w:val="16"/>
        </w:rPr>
      </w:pPr>
      <w:r w:rsidRPr="0073301E">
        <w:rPr>
          <w:kern w:val="16"/>
        </w:rPr>
        <w:t>Die Entscheidung wird gemä</w:t>
      </w:r>
      <w:r w:rsidR="002619FC">
        <w:rPr>
          <w:kern w:val="16"/>
        </w:rPr>
        <w:t>ß § 5 Abs. 2 UVPG im UVP-Portal Bayern</w:t>
      </w:r>
      <w:r w:rsidRPr="0073301E">
        <w:rPr>
          <w:kern w:val="16"/>
        </w:rPr>
        <w:t xml:space="preserve"> öffentlich bekanntgegeben.</w:t>
      </w:r>
    </w:p>
    <w:p w:rsidR="00265BDD" w:rsidRPr="0073301E" w:rsidRDefault="00265BDD" w:rsidP="00265BDD">
      <w:pPr>
        <w:pStyle w:val="Textkrper"/>
        <w:jc w:val="both"/>
        <w:rPr>
          <w:rFonts w:ascii="Times New Roman" w:hAnsi="Times New Roman"/>
          <w:sz w:val="24"/>
          <w:szCs w:val="24"/>
        </w:rPr>
      </w:pPr>
    </w:p>
    <w:p w:rsidR="00265BDD" w:rsidRPr="0073301E" w:rsidRDefault="00265BDD" w:rsidP="00265BDD">
      <w:pPr>
        <w:pStyle w:val="Textkrper"/>
        <w:jc w:val="both"/>
        <w:rPr>
          <w:rFonts w:ascii="Times New Roman" w:hAnsi="Times New Roman"/>
          <w:sz w:val="24"/>
          <w:szCs w:val="24"/>
        </w:rPr>
      </w:pPr>
    </w:p>
    <w:p w:rsidR="00265BDD" w:rsidRPr="0073301E" w:rsidRDefault="00265BDD" w:rsidP="00265BDD">
      <w:pPr>
        <w:pStyle w:val="Textkrper"/>
        <w:jc w:val="both"/>
        <w:rPr>
          <w:rFonts w:ascii="Times New Roman" w:hAnsi="Times New Roman"/>
          <w:sz w:val="24"/>
          <w:szCs w:val="24"/>
        </w:rPr>
      </w:pPr>
    </w:p>
    <w:p w:rsidR="00265BDD" w:rsidRPr="0073301E" w:rsidRDefault="00265BDD" w:rsidP="00265BDD">
      <w:pPr>
        <w:pStyle w:val="Textkrper"/>
        <w:jc w:val="both"/>
        <w:rPr>
          <w:rFonts w:ascii="Times New Roman" w:hAnsi="Times New Roman"/>
          <w:sz w:val="24"/>
          <w:szCs w:val="24"/>
        </w:rPr>
      </w:pPr>
      <w:r w:rsidRPr="0073301E">
        <w:rPr>
          <w:rFonts w:ascii="Times New Roman" w:hAnsi="Times New Roman"/>
          <w:sz w:val="24"/>
          <w:szCs w:val="24"/>
        </w:rPr>
        <w:t>Landratsamt Dingolfing-Landau</w:t>
      </w:r>
      <w:r w:rsidR="007E76FD">
        <w:rPr>
          <w:rFonts w:ascii="Times New Roman" w:hAnsi="Times New Roman"/>
          <w:sz w:val="24"/>
          <w:szCs w:val="24"/>
        </w:rPr>
        <w:t>, 14.05.2020</w:t>
      </w:r>
    </w:p>
    <w:p w:rsidR="00265BDD" w:rsidRPr="0073301E" w:rsidRDefault="00265BDD" w:rsidP="00265BDD">
      <w:pPr>
        <w:pStyle w:val="Textkrper"/>
        <w:jc w:val="both"/>
        <w:rPr>
          <w:rFonts w:ascii="Times New Roman" w:hAnsi="Times New Roman"/>
          <w:sz w:val="24"/>
          <w:szCs w:val="24"/>
        </w:rPr>
      </w:pPr>
      <w:r w:rsidRPr="0073301E">
        <w:rPr>
          <w:rFonts w:ascii="Times New Roman" w:hAnsi="Times New Roman"/>
          <w:sz w:val="24"/>
          <w:szCs w:val="24"/>
        </w:rPr>
        <w:t>SG 42</w:t>
      </w:r>
    </w:p>
    <w:p w:rsidR="00265BDD" w:rsidRPr="0073301E" w:rsidRDefault="00265BDD" w:rsidP="00265BDD">
      <w:pPr>
        <w:pStyle w:val="Textkrper"/>
        <w:jc w:val="both"/>
        <w:rPr>
          <w:rFonts w:ascii="Times New Roman" w:hAnsi="Times New Roman"/>
          <w:sz w:val="24"/>
          <w:szCs w:val="24"/>
        </w:rPr>
      </w:pPr>
    </w:p>
    <w:p w:rsidR="00265BDD" w:rsidRDefault="00265BDD" w:rsidP="00265BDD">
      <w:pPr>
        <w:pStyle w:val="Textkrper"/>
        <w:jc w:val="both"/>
        <w:rPr>
          <w:rFonts w:ascii="Times New Roman" w:hAnsi="Times New Roman"/>
          <w:sz w:val="24"/>
          <w:szCs w:val="24"/>
        </w:rPr>
      </w:pPr>
    </w:p>
    <w:p w:rsidR="00265BDD" w:rsidRPr="0073301E" w:rsidRDefault="00265BDD" w:rsidP="00265BDD">
      <w:pPr>
        <w:pStyle w:val="Textkrper"/>
        <w:jc w:val="both"/>
        <w:rPr>
          <w:rFonts w:ascii="Times New Roman" w:hAnsi="Times New Roman"/>
          <w:sz w:val="24"/>
          <w:szCs w:val="24"/>
        </w:rPr>
      </w:pPr>
    </w:p>
    <w:p w:rsidR="00265BDD" w:rsidRPr="0073301E" w:rsidRDefault="00265BDD" w:rsidP="00265BDD">
      <w:pPr>
        <w:pStyle w:val="Textkrper"/>
        <w:jc w:val="both"/>
        <w:rPr>
          <w:rFonts w:ascii="Times New Roman" w:hAnsi="Times New Roman"/>
          <w:sz w:val="24"/>
          <w:szCs w:val="24"/>
        </w:rPr>
      </w:pPr>
    </w:p>
    <w:p w:rsidR="00265BDD" w:rsidRDefault="00265BDD" w:rsidP="00265BDD">
      <w:pPr>
        <w:pStyle w:val="Textkrper"/>
        <w:jc w:val="both"/>
        <w:rPr>
          <w:rFonts w:ascii="Times New Roman" w:hAnsi="Times New Roman"/>
          <w:sz w:val="24"/>
          <w:szCs w:val="24"/>
        </w:rPr>
      </w:pPr>
      <w:r w:rsidRPr="0073301E">
        <w:rPr>
          <w:rFonts w:ascii="Times New Roman" w:hAnsi="Times New Roman"/>
          <w:sz w:val="24"/>
          <w:szCs w:val="24"/>
        </w:rPr>
        <w:t>Kerstin Kameter-Schenkl</w:t>
      </w:r>
    </w:p>
    <w:p w:rsidR="00265BDD" w:rsidRDefault="00265BDD" w:rsidP="00265BDD">
      <w:pPr>
        <w:pStyle w:val="Textkrper"/>
        <w:jc w:val="both"/>
        <w:rPr>
          <w:rFonts w:ascii="Times New Roman" w:hAnsi="Times New Roman"/>
          <w:sz w:val="24"/>
          <w:szCs w:val="24"/>
        </w:rPr>
      </w:pPr>
    </w:p>
    <w:p w:rsidR="00265BDD" w:rsidRDefault="00265BDD" w:rsidP="00265BDD">
      <w:pPr>
        <w:pStyle w:val="Textkrper"/>
        <w:jc w:val="both"/>
        <w:rPr>
          <w:rFonts w:ascii="Times New Roman" w:hAnsi="Times New Roman"/>
          <w:sz w:val="24"/>
          <w:szCs w:val="24"/>
        </w:rPr>
      </w:pPr>
    </w:p>
    <w:p w:rsidR="00265BDD" w:rsidRDefault="00265BDD" w:rsidP="00265BDD">
      <w:pPr>
        <w:pStyle w:val="Textkrper"/>
        <w:jc w:val="both"/>
        <w:rPr>
          <w:rFonts w:ascii="Times New Roman" w:hAnsi="Times New Roman"/>
          <w:sz w:val="24"/>
          <w:szCs w:val="24"/>
        </w:rPr>
      </w:pPr>
    </w:p>
    <w:p w:rsidR="00265BDD" w:rsidRPr="0073301E" w:rsidRDefault="00265BDD" w:rsidP="00265BDD">
      <w:pPr>
        <w:pStyle w:val="Textkrper"/>
        <w:jc w:val="both"/>
        <w:rPr>
          <w:rFonts w:ascii="Times New Roman" w:hAnsi="Times New Roman"/>
          <w:sz w:val="24"/>
          <w:szCs w:val="24"/>
        </w:rPr>
      </w:pPr>
    </w:p>
    <w:p w:rsidR="00265BDD" w:rsidRPr="0073301E" w:rsidRDefault="00265BDD" w:rsidP="00265BDD">
      <w:pPr>
        <w:pStyle w:val="Textkrper"/>
        <w:jc w:val="both"/>
        <w:rPr>
          <w:rFonts w:ascii="Times New Roman" w:hAnsi="Times New Roman"/>
          <w:sz w:val="24"/>
          <w:szCs w:val="24"/>
        </w:rPr>
      </w:pPr>
    </w:p>
    <w:p w:rsidR="00265BDD" w:rsidRPr="0073301E" w:rsidRDefault="00265BDD" w:rsidP="00265BDD">
      <w:pPr>
        <w:pStyle w:val="Textkrper"/>
        <w:jc w:val="both"/>
        <w:rPr>
          <w:rFonts w:ascii="Times New Roman" w:hAnsi="Times New Roman"/>
          <w:sz w:val="24"/>
          <w:szCs w:val="24"/>
        </w:rPr>
      </w:pPr>
      <w:r w:rsidRPr="0073301E">
        <w:rPr>
          <w:rFonts w:ascii="Times New Roman" w:hAnsi="Times New Roman"/>
          <w:b/>
          <w:sz w:val="24"/>
          <w:szCs w:val="24"/>
        </w:rPr>
        <w:t>II. Z.A.</w:t>
      </w:r>
    </w:p>
    <w:p w:rsidR="00265BDD" w:rsidRPr="0073301E" w:rsidRDefault="00265BDD" w:rsidP="00265BDD"/>
    <w:p w:rsidR="00265BDD" w:rsidRPr="0073301E" w:rsidRDefault="00265BDD" w:rsidP="00265BDD"/>
    <w:p w:rsidR="00265BDD" w:rsidRDefault="00265BDD" w:rsidP="00265BDD"/>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3BA"/>
    <w:multiLevelType w:val="hybridMultilevel"/>
    <w:tmpl w:val="A1E6A326"/>
    <w:lvl w:ilvl="0" w:tplc="0148A7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F97A99"/>
    <w:multiLevelType w:val="hybridMultilevel"/>
    <w:tmpl w:val="19C04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155A54"/>
    <w:multiLevelType w:val="hybridMultilevel"/>
    <w:tmpl w:val="39AC05E8"/>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3" w15:restartNumberingAfterBreak="0">
    <w:nsid w:val="51794EA3"/>
    <w:multiLevelType w:val="hybridMultilevel"/>
    <w:tmpl w:val="14F2E1BE"/>
    <w:lvl w:ilvl="0" w:tplc="04070001">
      <w:start w:val="1"/>
      <w:numFmt w:val="bullet"/>
      <w:lvlText w:val=""/>
      <w:lvlJc w:val="left"/>
      <w:pPr>
        <w:tabs>
          <w:tab w:val="num" w:pos="1713"/>
        </w:tabs>
        <w:ind w:left="1713" w:hanging="360"/>
      </w:pPr>
      <w:rPr>
        <w:rFonts w:ascii="Symbol" w:hAnsi="Symbol" w:hint="default"/>
      </w:rPr>
    </w:lvl>
    <w:lvl w:ilvl="1" w:tplc="04070003" w:tentative="1">
      <w:start w:val="1"/>
      <w:numFmt w:val="bullet"/>
      <w:lvlText w:val="o"/>
      <w:lvlJc w:val="left"/>
      <w:pPr>
        <w:tabs>
          <w:tab w:val="num" w:pos="2433"/>
        </w:tabs>
        <w:ind w:left="2433" w:hanging="360"/>
      </w:pPr>
      <w:rPr>
        <w:rFonts w:ascii="Courier New" w:hAnsi="Courier New" w:cs="Courier New" w:hint="default"/>
      </w:rPr>
    </w:lvl>
    <w:lvl w:ilvl="2" w:tplc="04070005" w:tentative="1">
      <w:start w:val="1"/>
      <w:numFmt w:val="bullet"/>
      <w:lvlText w:val=""/>
      <w:lvlJc w:val="left"/>
      <w:pPr>
        <w:tabs>
          <w:tab w:val="num" w:pos="3153"/>
        </w:tabs>
        <w:ind w:left="3153" w:hanging="360"/>
      </w:pPr>
      <w:rPr>
        <w:rFonts w:ascii="Wingdings" w:hAnsi="Wingdings" w:hint="default"/>
      </w:rPr>
    </w:lvl>
    <w:lvl w:ilvl="3" w:tplc="04070001" w:tentative="1">
      <w:start w:val="1"/>
      <w:numFmt w:val="bullet"/>
      <w:lvlText w:val=""/>
      <w:lvlJc w:val="left"/>
      <w:pPr>
        <w:tabs>
          <w:tab w:val="num" w:pos="3873"/>
        </w:tabs>
        <w:ind w:left="3873" w:hanging="360"/>
      </w:pPr>
      <w:rPr>
        <w:rFonts w:ascii="Symbol" w:hAnsi="Symbol" w:hint="default"/>
      </w:rPr>
    </w:lvl>
    <w:lvl w:ilvl="4" w:tplc="04070003" w:tentative="1">
      <w:start w:val="1"/>
      <w:numFmt w:val="bullet"/>
      <w:lvlText w:val="o"/>
      <w:lvlJc w:val="left"/>
      <w:pPr>
        <w:tabs>
          <w:tab w:val="num" w:pos="4593"/>
        </w:tabs>
        <w:ind w:left="4593" w:hanging="360"/>
      </w:pPr>
      <w:rPr>
        <w:rFonts w:ascii="Courier New" w:hAnsi="Courier New" w:cs="Courier New" w:hint="default"/>
      </w:rPr>
    </w:lvl>
    <w:lvl w:ilvl="5" w:tplc="04070005" w:tentative="1">
      <w:start w:val="1"/>
      <w:numFmt w:val="bullet"/>
      <w:lvlText w:val=""/>
      <w:lvlJc w:val="left"/>
      <w:pPr>
        <w:tabs>
          <w:tab w:val="num" w:pos="5313"/>
        </w:tabs>
        <w:ind w:left="5313" w:hanging="360"/>
      </w:pPr>
      <w:rPr>
        <w:rFonts w:ascii="Wingdings" w:hAnsi="Wingdings" w:hint="default"/>
      </w:rPr>
    </w:lvl>
    <w:lvl w:ilvl="6" w:tplc="04070001" w:tentative="1">
      <w:start w:val="1"/>
      <w:numFmt w:val="bullet"/>
      <w:lvlText w:val=""/>
      <w:lvlJc w:val="left"/>
      <w:pPr>
        <w:tabs>
          <w:tab w:val="num" w:pos="6033"/>
        </w:tabs>
        <w:ind w:left="6033" w:hanging="360"/>
      </w:pPr>
      <w:rPr>
        <w:rFonts w:ascii="Symbol" w:hAnsi="Symbol" w:hint="default"/>
      </w:rPr>
    </w:lvl>
    <w:lvl w:ilvl="7" w:tplc="04070003" w:tentative="1">
      <w:start w:val="1"/>
      <w:numFmt w:val="bullet"/>
      <w:lvlText w:val="o"/>
      <w:lvlJc w:val="left"/>
      <w:pPr>
        <w:tabs>
          <w:tab w:val="num" w:pos="6753"/>
        </w:tabs>
        <w:ind w:left="6753" w:hanging="360"/>
      </w:pPr>
      <w:rPr>
        <w:rFonts w:ascii="Courier New" w:hAnsi="Courier New" w:cs="Courier New" w:hint="default"/>
      </w:rPr>
    </w:lvl>
    <w:lvl w:ilvl="8" w:tplc="04070005" w:tentative="1">
      <w:start w:val="1"/>
      <w:numFmt w:val="bullet"/>
      <w:lvlText w:val=""/>
      <w:lvlJc w:val="left"/>
      <w:pPr>
        <w:tabs>
          <w:tab w:val="num" w:pos="7473"/>
        </w:tabs>
        <w:ind w:left="7473"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DD"/>
    <w:rsid w:val="002619FC"/>
    <w:rsid w:val="00265BDD"/>
    <w:rsid w:val="0046587F"/>
    <w:rsid w:val="007E76FD"/>
    <w:rsid w:val="00A97B62"/>
    <w:rsid w:val="00BE60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D748"/>
  <w15:chartTrackingRefBased/>
  <w15:docId w15:val="{D833F8C9-AC19-46C1-9AE5-0C01998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5BDD"/>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65BDD"/>
    <w:rPr>
      <w:rFonts w:ascii="Arial" w:hAnsi="Arial"/>
      <w:kern w:val="16"/>
      <w:sz w:val="22"/>
      <w:szCs w:val="20"/>
    </w:rPr>
  </w:style>
  <w:style w:type="character" w:customStyle="1" w:styleId="TextkrperZchn">
    <w:name w:val="Textkörper Zchn"/>
    <w:basedOn w:val="Absatz-Standardschriftart"/>
    <w:link w:val="Textkrper"/>
    <w:rsid w:val="00265BDD"/>
    <w:rPr>
      <w:rFonts w:eastAsia="Times New Roman" w:cs="Times New Roman"/>
      <w:kern w:val="16"/>
      <w:szCs w:val="20"/>
      <w:lang w:eastAsia="de-DE"/>
    </w:rPr>
  </w:style>
  <w:style w:type="paragraph" w:styleId="Kopfzeile">
    <w:name w:val="header"/>
    <w:basedOn w:val="Standard"/>
    <w:link w:val="KopfzeileZchn"/>
    <w:rsid w:val="00265BDD"/>
    <w:pPr>
      <w:tabs>
        <w:tab w:val="center" w:pos="4536"/>
        <w:tab w:val="right" w:pos="9072"/>
      </w:tabs>
    </w:pPr>
    <w:rPr>
      <w:szCs w:val="20"/>
    </w:rPr>
  </w:style>
  <w:style w:type="character" w:customStyle="1" w:styleId="KopfzeileZchn">
    <w:name w:val="Kopfzeile Zchn"/>
    <w:basedOn w:val="Absatz-Standardschriftart"/>
    <w:link w:val="Kopfzeile"/>
    <w:uiPriority w:val="99"/>
    <w:rsid w:val="00265BDD"/>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265BDD"/>
    <w:pPr>
      <w:ind w:left="720"/>
      <w:contextualSpacing/>
    </w:pPr>
  </w:style>
  <w:style w:type="paragraph" w:styleId="Sprechblasentext">
    <w:name w:val="Balloon Text"/>
    <w:basedOn w:val="Standard"/>
    <w:link w:val="SprechblasentextZchn"/>
    <w:uiPriority w:val="99"/>
    <w:semiHidden/>
    <w:unhideWhenUsed/>
    <w:rsid w:val="007E76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76F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5ED1539.dotm</Template>
  <TotalTime>0</TotalTime>
  <Pages>3</Pages>
  <Words>1050</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cp:lastPrinted>2020-05-14T08:37:00Z</cp:lastPrinted>
  <dcterms:created xsi:type="dcterms:W3CDTF">2020-05-14T08:01:00Z</dcterms:created>
  <dcterms:modified xsi:type="dcterms:W3CDTF">2020-05-15T09:25:00Z</dcterms:modified>
</cp:coreProperties>
</file>