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B3" w:rsidRDefault="00CE21B3" w:rsidP="00CE21B3">
      <w:pPr>
        <w:ind w:left="0" w:firstLine="0"/>
      </w:pPr>
      <w:r>
        <w:t>4.16-6430.02-170071</w:t>
      </w:r>
    </w:p>
    <w:p w:rsidR="00CE21B3" w:rsidRDefault="00CE21B3" w:rsidP="00CE21B3">
      <w:pPr>
        <w:ind w:left="0" w:firstLine="0"/>
      </w:pPr>
    </w:p>
    <w:p w:rsidR="00CE21B3" w:rsidRPr="008E1F8E" w:rsidRDefault="00CE21B3" w:rsidP="00CE21B3">
      <w:pPr>
        <w:ind w:left="0" w:firstLine="0"/>
        <w:jc w:val="both"/>
        <w:rPr>
          <w:b/>
        </w:rPr>
      </w:pPr>
      <w:r w:rsidRPr="008E1F8E">
        <w:rPr>
          <w:b/>
        </w:rPr>
        <w:t>Wasserrecht</w:t>
      </w:r>
      <w:r>
        <w:rPr>
          <w:b/>
        </w:rPr>
        <w:t xml:space="preserve"> und Umweltverträglichkeitsrecht</w:t>
      </w:r>
      <w:r w:rsidRPr="008E1F8E">
        <w:rPr>
          <w:b/>
        </w:rPr>
        <w:t xml:space="preserve">; </w:t>
      </w:r>
    </w:p>
    <w:p w:rsidR="00CE21B3" w:rsidRDefault="00CE21B3" w:rsidP="00CE21B3">
      <w:pPr>
        <w:ind w:left="0" w:firstLine="0"/>
        <w:jc w:val="both"/>
        <w:rPr>
          <w:b/>
        </w:rPr>
      </w:pPr>
      <w:r>
        <w:rPr>
          <w:b/>
        </w:rPr>
        <w:t>Beschränkte w</w:t>
      </w:r>
      <w:r>
        <w:rPr>
          <w:b/>
        </w:rPr>
        <w:t xml:space="preserve">asserrechtliche </w:t>
      </w:r>
      <w:r>
        <w:rPr>
          <w:b/>
        </w:rPr>
        <w:t xml:space="preserve">Erlaubnis </w:t>
      </w:r>
      <w:r>
        <w:rPr>
          <w:b/>
        </w:rPr>
        <w:t xml:space="preserve">für </w:t>
      </w:r>
      <w:r>
        <w:rPr>
          <w:b/>
        </w:rPr>
        <w:t>eine</w:t>
      </w:r>
      <w:r>
        <w:rPr>
          <w:b/>
        </w:rPr>
        <w:t xml:space="preserve"> Wasserkraft</w:t>
      </w:r>
      <w:r>
        <w:rPr>
          <w:b/>
        </w:rPr>
        <w:t>nutzung</w:t>
      </w:r>
      <w:r>
        <w:rPr>
          <w:b/>
        </w:rPr>
        <w:t xml:space="preserve"> an der </w:t>
      </w:r>
      <w:r>
        <w:rPr>
          <w:b/>
        </w:rPr>
        <w:t>Sur</w:t>
      </w:r>
      <w:r>
        <w:rPr>
          <w:b/>
        </w:rPr>
        <w:t xml:space="preserve"> in der Gemeinde </w:t>
      </w:r>
      <w:r>
        <w:rPr>
          <w:b/>
        </w:rPr>
        <w:t xml:space="preserve">Surberg durch Herrn Reinhard Schnell </w:t>
      </w:r>
    </w:p>
    <w:p w:rsidR="00CE21B3" w:rsidRDefault="00CE21B3" w:rsidP="00CE21B3">
      <w:pPr>
        <w:ind w:left="0" w:firstLine="0"/>
        <w:jc w:val="both"/>
        <w:rPr>
          <w:b/>
        </w:rPr>
      </w:pPr>
    </w:p>
    <w:p w:rsidR="00CE21B3" w:rsidRDefault="00CE21B3" w:rsidP="00CE21B3">
      <w:pPr>
        <w:ind w:left="0" w:firstLine="0"/>
        <w:jc w:val="both"/>
        <w:rPr>
          <w:b/>
        </w:rPr>
      </w:pPr>
    </w:p>
    <w:p w:rsidR="00CE21B3" w:rsidRPr="00267544" w:rsidRDefault="00CE21B3" w:rsidP="00CE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ind w:left="0" w:firstLine="0"/>
        <w:jc w:val="center"/>
        <w:rPr>
          <w:rFonts w:ascii="Calibri" w:hAnsi="Calibri" w:cs="Calibri"/>
          <w:lang w:eastAsia="de-DE"/>
        </w:rPr>
      </w:pPr>
      <w:r w:rsidRPr="00267544">
        <w:rPr>
          <w:rFonts w:ascii="Calibri" w:hAnsi="Calibri" w:cs="Calibri"/>
          <w:lang w:eastAsia="de-DE"/>
        </w:rPr>
        <w:t>Bekanntmachung</w:t>
      </w:r>
    </w:p>
    <w:p w:rsidR="00CE21B3" w:rsidRDefault="00CE21B3" w:rsidP="00CE21B3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</w:p>
    <w:p w:rsidR="00CE21B3" w:rsidRDefault="00CE21B3" w:rsidP="00CE21B3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</w:p>
    <w:p w:rsidR="00CE21B3" w:rsidRDefault="00CE21B3" w:rsidP="00CE21B3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  <w:r>
        <w:rPr>
          <w:rFonts w:ascii="Calibri" w:hAnsi="Calibri" w:cs="Calibri"/>
          <w:lang w:eastAsia="de-DE"/>
        </w:rPr>
        <w:t>Im Ortsteil Surtal</w:t>
      </w:r>
      <w:r>
        <w:rPr>
          <w:rFonts w:ascii="Calibri" w:hAnsi="Calibri" w:cs="Calibri"/>
          <w:lang w:eastAsia="de-DE"/>
        </w:rPr>
        <w:t xml:space="preserve"> </w:t>
      </w:r>
      <w:r>
        <w:rPr>
          <w:rFonts w:ascii="Calibri" w:hAnsi="Calibri" w:cs="Calibri"/>
          <w:lang w:eastAsia="de-DE"/>
        </w:rPr>
        <w:t>der Gemeinde Surberg war</w:t>
      </w:r>
      <w:r>
        <w:rPr>
          <w:rFonts w:ascii="Calibri" w:hAnsi="Calibri" w:cs="Calibri"/>
          <w:lang w:eastAsia="de-DE"/>
        </w:rPr>
        <w:t xml:space="preserve"> </w:t>
      </w:r>
      <w:r>
        <w:rPr>
          <w:rFonts w:ascii="Calibri" w:hAnsi="Calibri" w:cs="Calibri"/>
          <w:lang w:eastAsia="de-DE"/>
        </w:rPr>
        <w:t>die Wasserkraft der Sur</w:t>
      </w:r>
      <w:r>
        <w:rPr>
          <w:rFonts w:ascii="Calibri" w:hAnsi="Calibri" w:cs="Calibri"/>
          <w:lang w:eastAsia="de-DE"/>
        </w:rPr>
        <w:t xml:space="preserve"> </w:t>
      </w:r>
      <w:r>
        <w:rPr>
          <w:rFonts w:ascii="Calibri" w:hAnsi="Calibri" w:cs="Calibri"/>
          <w:lang w:eastAsia="de-DE"/>
        </w:rPr>
        <w:t>seit</w:t>
      </w:r>
      <w:r>
        <w:rPr>
          <w:rFonts w:ascii="Calibri" w:hAnsi="Calibri" w:cs="Calibri"/>
          <w:lang w:eastAsia="de-DE"/>
        </w:rPr>
        <w:t xml:space="preserve"> unvordenklichen Zeiten</w:t>
      </w:r>
      <w:r>
        <w:rPr>
          <w:rFonts w:ascii="Calibri" w:hAnsi="Calibri" w:cs="Calibri"/>
          <w:lang w:eastAsia="de-DE"/>
        </w:rPr>
        <w:t xml:space="preserve"> durch die „Buchmühle“ </w:t>
      </w:r>
      <w:r>
        <w:rPr>
          <w:rFonts w:ascii="Calibri" w:hAnsi="Calibri" w:cs="Calibri"/>
          <w:lang w:eastAsia="de-DE"/>
        </w:rPr>
        <w:t>genutzt</w:t>
      </w:r>
      <w:r>
        <w:rPr>
          <w:rFonts w:ascii="Calibri" w:hAnsi="Calibri" w:cs="Calibri"/>
          <w:lang w:eastAsia="de-DE"/>
        </w:rPr>
        <w:t xml:space="preserve"> worden, deren Betrieb war dann aber bereits vor mehreren Jahrzehnten eingestellt worden.</w:t>
      </w:r>
    </w:p>
    <w:p w:rsidR="00CE21B3" w:rsidRDefault="00CE21B3" w:rsidP="00CE21B3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  <w:r>
        <w:rPr>
          <w:rFonts w:ascii="Calibri" w:hAnsi="Calibri" w:cs="Calibri"/>
          <w:lang w:eastAsia="de-DE"/>
        </w:rPr>
        <w:t xml:space="preserve">Unweit des damaligen </w:t>
      </w:r>
      <w:r w:rsidR="00773AE1">
        <w:rPr>
          <w:rFonts w:ascii="Calibri" w:hAnsi="Calibri" w:cs="Calibri"/>
          <w:lang w:eastAsia="de-DE"/>
        </w:rPr>
        <w:t>Standorts plant Herr Reinhard Schnell</w:t>
      </w:r>
      <w:r w:rsidR="00BF5C7D">
        <w:rPr>
          <w:rFonts w:ascii="Calibri" w:hAnsi="Calibri" w:cs="Calibri"/>
          <w:lang w:eastAsia="de-DE"/>
        </w:rPr>
        <w:t xml:space="preserve"> nun</w:t>
      </w:r>
      <w:r w:rsidR="00773AE1">
        <w:rPr>
          <w:rFonts w:ascii="Calibri" w:hAnsi="Calibri" w:cs="Calibri"/>
          <w:lang w:eastAsia="de-DE"/>
        </w:rPr>
        <w:t xml:space="preserve"> durch Anbau eines oberschlächtigen Wasserrads an einem bestehenden Absturz die Wasserkraft der Sur zur rege</w:t>
      </w:r>
      <w:r w:rsidR="00BF5C7D">
        <w:rPr>
          <w:rFonts w:ascii="Calibri" w:hAnsi="Calibri" w:cs="Calibri"/>
          <w:lang w:eastAsia="de-DE"/>
        </w:rPr>
        <w:t>ne</w:t>
      </w:r>
      <w:r w:rsidR="00773AE1">
        <w:rPr>
          <w:rFonts w:ascii="Calibri" w:hAnsi="Calibri" w:cs="Calibri"/>
          <w:lang w:eastAsia="de-DE"/>
        </w:rPr>
        <w:t>rativen Energieerzeugung zu nutzen. Dazu hat er beim Landratsamt Traunstein die Erteilung einer beschränkten Erlaubnis beantragt.</w:t>
      </w:r>
    </w:p>
    <w:p w:rsidR="00CE21B3" w:rsidRDefault="00CE21B3" w:rsidP="00CE21B3">
      <w:pPr>
        <w:autoSpaceDE w:val="0"/>
        <w:adjustRightInd w:val="0"/>
        <w:ind w:left="0" w:firstLine="0"/>
        <w:jc w:val="both"/>
        <w:rPr>
          <w:rFonts w:ascii="Calibri" w:hAnsi="Calibri" w:cs="Calibri"/>
          <w:lang w:eastAsia="de-DE"/>
        </w:rPr>
      </w:pPr>
    </w:p>
    <w:p w:rsidR="00CE21B3" w:rsidRDefault="00BF5C7D" w:rsidP="00CE21B3">
      <w:pPr>
        <w:ind w:left="0" w:firstLine="0"/>
        <w:jc w:val="both"/>
        <w:rPr>
          <w:lang w:eastAsia="de-DE"/>
        </w:rPr>
      </w:pPr>
      <w:r>
        <w:rPr>
          <w:lang w:eastAsia="de-DE"/>
        </w:rPr>
        <w:t>N</w:t>
      </w:r>
      <w:r w:rsidR="00CE21B3">
        <w:rPr>
          <w:lang w:eastAsia="de-DE"/>
        </w:rPr>
        <w:t xml:space="preserve">ach </w:t>
      </w:r>
      <w:r w:rsidR="00CE21B3" w:rsidRPr="00F45EBD">
        <w:rPr>
          <w:lang w:eastAsia="de-DE"/>
        </w:rPr>
        <w:t xml:space="preserve">§ 5 Abs. 1 </w:t>
      </w:r>
      <w:r>
        <w:rPr>
          <w:lang w:eastAsia="de-DE"/>
        </w:rPr>
        <w:t xml:space="preserve">des </w:t>
      </w:r>
      <w:r w:rsidR="00CE21B3">
        <w:rPr>
          <w:lang w:eastAsia="de-DE"/>
        </w:rPr>
        <w:t>Gesetz</w:t>
      </w:r>
      <w:r>
        <w:rPr>
          <w:lang w:eastAsia="de-DE"/>
        </w:rPr>
        <w:t>es</w:t>
      </w:r>
      <w:bookmarkStart w:id="0" w:name="_GoBack"/>
      <w:bookmarkEnd w:id="0"/>
      <w:r w:rsidR="00CE21B3" w:rsidRPr="00F45EBD">
        <w:rPr>
          <w:lang w:eastAsia="de-DE"/>
        </w:rPr>
        <w:t xml:space="preserve"> über die Umweltve</w:t>
      </w:r>
      <w:r w:rsidR="00CE21B3">
        <w:rPr>
          <w:lang w:eastAsia="de-DE"/>
        </w:rPr>
        <w:t>rträglichkeitsprüfung (UVPG)</w:t>
      </w:r>
      <w:r w:rsidR="00CE21B3" w:rsidRPr="00F45EBD">
        <w:rPr>
          <w:lang w:eastAsia="de-DE"/>
        </w:rPr>
        <w:t xml:space="preserve"> </w:t>
      </w:r>
      <w:r>
        <w:rPr>
          <w:lang w:eastAsia="de-DE"/>
        </w:rPr>
        <w:t xml:space="preserve">ist </w:t>
      </w:r>
      <w:r w:rsidR="00CE21B3" w:rsidRPr="00F45EBD">
        <w:rPr>
          <w:lang w:eastAsia="de-DE"/>
        </w:rPr>
        <w:t xml:space="preserve">durch </w:t>
      </w:r>
      <w:r w:rsidR="00CE21B3">
        <w:rPr>
          <w:lang w:eastAsia="de-DE"/>
        </w:rPr>
        <w:t>die zuständige Behörde, das Landratsamt Traunstein</w:t>
      </w:r>
      <w:r w:rsidR="00773AE1">
        <w:rPr>
          <w:lang w:eastAsia="de-DE"/>
        </w:rPr>
        <w:t>,</w:t>
      </w:r>
      <w:r w:rsidR="00CE21B3">
        <w:rPr>
          <w:lang w:eastAsia="de-DE"/>
        </w:rPr>
        <w:t xml:space="preserve"> </w:t>
      </w:r>
      <w:r>
        <w:rPr>
          <w:lang w:eastAsia="de-DE"/>
        </w:rPr>
        <w:t>im Rahmen des</w:t>
      </w:r>
      <w:r w:rsidR="00CE21B3">
        <w:rPr>
          <w:lang w:eastAsia="de-DE"/>
        </w:rPr>
        <w:t xml:space="preserve"> </w:t>
      </w:r>
      <w:r w:rsidR="00773AE1">
        <w:rPr>
          <w:lang w:eastAsia="de-DE"/>
        </w:rPr>
        <w:t>Wasserrechtsverfahrens festzustellen</w:t>
      </w:r>
      <w:r w:rsidR="00CE21B3" w:rsidRPr="00F45EBD">
        <w:rPr>
          <w:lang w:eastAsia="de-DE"/>
        </w:rPr>
        <w:t xml:space="preserve">, ob für das Vorhaben eine Verpflichtung zur Durchführung einer Umweltverträglichkeitsprüfung </w:t>
      </w:r>
      <w:r w:rsidR="00CE21B3">
        <w:rPr>
          <w:lang w:eastAsia="de-DE"/>
        </w:rPr>
        <w:t xml:space="preserve"> </w:t>
      </w:r>
      <w:r w:rsidR="00CE21B3" w:rsidRPr="00F45EBD">
        <w:rPr>
          <w:lang w:eastAsia="de-DE"/>
        </w:rPr>
        <w:t>besteht</w:t>
      </w:r>
      <w:r w:rsidR="00CE21B3">
        <w:rPr>
          <w:lang w:eastAsia="de-DE"/>
        </w:rPr>
        <w:t xml:space="preserve">. </w:t>
      </w:r>
    </w:p>
    <w:p w:rsidR="00CE21B3" w:rsidRDefault="00CE21B3" w:rsidP="00CE21B3">
      <w:pPr>
        <w:ind w:left="0" w:firstLine="0"/>
        <w:jc w:val="both"/>
        <w:rPr>
          <w:lang w:eastAsia="de-DE"/>
        </w:rPr>
      </w:pPr>
      <w:r>
        <w:rPr>
          <w:lang w:eastAsia="de-DE"/>
        </w:rPr>
        <w:t>Das Vorhaben ist in Anlage 1 Nr. 13.14 Spalte 2 zum UVPG mit dem Buchstaben „A“ gekennzeichnet. Es ist deshalb gemäß § 7 Abs. 1 UVPG eine allgemeine Vorprüfung des Einzelfalls zur Feststellung der UVP-Pflicht durchzuführen.</w:t>
      </w:r>
      <w:r w:rsidRPr="00F45EBD">
        <w:rPr>
          <w:lang w:eastAsia="de-DE"/>
        </w:rPr>
        <w:t xml:space="preserve"> </w:t>
      </w:r>
      <w:r>
        <w:rPr>
          <w:lang w:eastAsia="de-DE"/>
        </w:rPr>
        <w:t xml:space="preserve">Die allgemeine Vorprüfung des Einzelfalls wurde als überschlägige Prüfung unter Berücksichtigung der in Anlage 3 zum UVPG aufgeführten Kriterien durchgeführt. </w:t>
      </w:r>
    </w:p>
    <w:p w:rsidR="00CE21B3" w:rsidRDefault="00CE21B3" w:rsidP="00CE21B3">
      <w:pPr>
        <w:ind w:left="0" w:firstLine="0"/>
        <w:jc w:val="both"/>
        <w:rPr>
          <w:lang w:eastAsia="de-DE"/>
        </w:rPr>
      </w:pPr>
    </w:p>
    <w:p w:rsidR="00773AE1" w:rsidRDefault="00773AE1" w:rsidP="00CE21B3">
      <w:pPr>
        <w:ind w:left="0" w:firstLine="0"/>
        <w:jc w:val="both"/>
        <w:rPr>
          <w:lang w:eastAsia="de-DE"/>
        </w:rPr>
      </w:pPr>
      <w:r>
        <w:rPr>
          <w:lang w:eastAsia="de-DE"/>
        </w:rPr>
        <w:t>Mögliche</w:t>
      </w:r>
      <w:r w:rsidR="00CE21B3">
        <w:rPr>
          <w:lang w:eastAsia="de-DE"/>
        </w:rPr>
        <w:t xml:space="preserve"> Beeinträchtigungen für die Schutzgüter i. S. d. UVPG (Boden, Tiere, Pflanzen) </w:t>
      </w:r>
      <w:r>
        <w:rPr>
          <w:lang w:eastAsia="de-DE"/>
        </w:rPr>
        <w:t xml:space="preserve">beschränken sich überwiegend auf die Zeit des Einbaus des Wasserrads und </w:t>
      </w:r>
      <w:r w:rsidR="00CE21B3">
        <w:rPr>
          <w:lang w:eastAsia="de-DE"/>
        </w:rPr>
        <w:t xml:space="preserve">werden </w:t>
      </w:r>
      <w:r>
        <w:rPr>
          <w:lang w:eastAsia="de-DE"/>
        </w:rPr>
        <w:t xml:space="preserve">als lediglich geringfügig eingeschätzt sowie </w:t>
      </w:r>
      <w:r w:rsidR="00CE21B3">
        <w:rPr>
          <w:lang w:eastAsia="de-DE"/>
        </w:rPr>
        <w:t xml:space="preserve">durch geeignete Auflagen </w:t>
      </w:r>
      <w:r>
        <w:rPr>
          <w:lang w:eastAsia="de-DE"/>
        </w:rPr>
        <w:t>so we</w:t>
      </w:r>
      <w:r w:rsidR="00CE21B3">
        <w:rPr>
          <w:lang w:eastAsia="de-DE"/>
        </w:rPr>
        <w:t xml:space="preserve">it wie </w:t>
      </w:r>
      <w:r w:rsidR="00CE21B3" w:rsidRPr="00402CCF">
        <w:rPr>
          <w:lang w:eastAsia="de-DE"/>
        </w:rPr>
        <w:t>möglich minimiert</w:t>
      </w:r>
      <w:r w:rsidR="00CE21B3">
        <w:rPr>
          <w:lang w:eastAsia="de-DE"/>
        </w:rPr>
        <w:t xml:space="preserve">. </w:t>
      </w:r>
    </w:p>
    <w:p w:rsidR="00CE21B3" w:rsidRDefault="00CE21B3" w:rsidP="00CE21B3">
      <w:pPr>
        <w:ind w:left="0" w:firstLine="0"/>
        <w:jc w:val="both"/>
        <w:rPr>
          <w:lang w:eastAsia="de-DE"/>
        </w:rPr>
      </w:pPr>
      <w:r w:rsidRPr="00F45EBD">
        <w:rPr>
          <w:lang w:eastAsia="de-DE"/>
        </w:rPr>
        <w:t>Im</w:t>
      </w:r>
      <w:r>
        <w:rPr>
          <w:lang w:eastAsia="de-DE"/>
        </w:rPr>
        <w:t xml:space="preserve"> Ergebnis der Vorprüfung wurde</w:t>
      </w:r>
      <w:r w:rsidRPr="00F45EBD">
        <w:rPr>
          <w:lang w:eastAsia="de-DE"/>
        </w:rPr>
        <w:t xml:space="preserve"> festgestellt, dass </w:t>
      </w:r>
      <w:r>
        <w:rPr>
          <w:lang w:eastAsia="de-DE"/>
        </w:rPr>
        <w:t xml:space="preserve">insbesondere aufgrund der Kleinräumigkeit der Maßnahme im unmittelbaren Umgriff des </w:t>
      </w:r>
      <w:r w:rsidR="00773AE1">
        <w:rPr>
          <w:lang w:eastAsia="de-DE"/>
        </w:rPr>
        <w:t>bestehenden Absturzes</w:t>
      </w:r>
      <w:r>
        <w:rPr>
          <w:lang w:eastAsia="de-DE"/>
        </w:rPr>
        <w:t xml:space="preserve"> d</w:t>
      </w:r>
      <w:r w:rsidRPr="00F45EBD">
        <w:rPr>
          <w:lang w:eastAsia="de-DE"/>
        </w:rPr>
        <w:t>urch das Vorhaben</w:t>
      </w:r>
      <w:r w:rsidR="00773AE1">
        <w:rPr>
          <w:lang w:eastAsia="de-DE"/>
        </w:rPr>
        <w:t xml:space="preserve"> </w:t>
      </w:r>
      <w:r w:rsidRPr="00F45EBD">
        <w:rPr>
          <w:lang w:eastAsia="de-DE"/>
        </w:rPr>
        <w:t xml:space="preserve">keine erheblichen nachteiligen Auswirkungen für die Umwelt zu erwarten sind und deshalb keine Verpflichtung zur Durchführung einer Umweltverträglichkeitsprüfung besteht. </w:t>
      </w:r>
    </w:p>
    <w:p w:rsidR="00CE21B3" w:rsidRDefault="00CE21B3" w:rsidP="00CE21B3">
      <w:pPr>
        <w:ind w:left="0" w:firstLine="0"/>
        <w:jc w:val="both"/>
        <w:rPr>
          <w:lang w:eastAsia="de-DE"/>
        </w:rPr>
      </w:pPr>
    </w:p>
    <w:p w:rsidR="00CE21B3" w:rsidRDefault="00CE21B3" w:rsidP="00CE21B3">
      <w:pPr>
        <w:ind w:left="0" w:firstLine="0"/>
        <w:jc w:val="both"/>
        <w:rPr>
          <w:lang w:eastAsia="de-DE"/>
        </w:rPr>
      </w:pPr>
      <w:r w:rsidRPr="00F45EBD">
        <w:rPr>
          <w:lang w:eastAsia="de-DE"/>
        </w:rPr>
        <w:t>Diese Feststel</w:t>
      </w:r>
      <w:r>
        <w:rPr>
          <w:lang w:eastAsia="de-DE"/>
        </w:rPr>
        <w:t xml:space="preserve">lung wird </w:t>
      </w:r>
      <w:r w:rsidRPr="00F45EBD">
        <w:rPr>
          <w:lang w:eastAsia="de-DE"/>
        </w:rPr>
        <w:t xml:space="preserve">gemäß § 5 Abs. 2 </w:t>
      </w:r>
      <w:r>
        <w:rPr>
          <w:lang w:eastAsia="de-DE"/>
        </w:rPr>
        <w:t>UVPG</w:t>
      </w:r>
      <w:r w:rsidRPr="00F45EBD">
        <w:rPr>
          <w:lang w:eastAsia="de-DE"/>
        </w:rPr>
        <w:t xml:space="preserve"> </w:t>
      </w:r>
      <w:r>
        <w:rPr>
          <w:lang w:eastAsia="de-DE"/>
        </w:rPr>
        <w:t>öffentlich bekannt gegeben</w:t>
      </w:r>
      <w:r w:rsidRPr="00F45EBD">
        <w:rPr>
          <w:lang w:eastAsia="de-DE"/>
        </w:rPr>
        <w:t xml:space="preserve">. Die Feststellung </w:t>
      </w:r>
      <w:r>
        <w:rPr>
          <w:lang w:eastAsia="de-DE"/>
        </w:rPr>
        <w:t>ist nicht selbständig anfechtbar (§ 5 Abs. 3 Satz 1 UVPG)</w:t>
      </w:r>
      <w:r w:rsidRPr="00F45EBD">
        <w:rPr>
          <w:lang w:eastAsia="de-DE"/>
        </w:rPr>
        <w:t xml:space="preserve">. </w:t>
      </w:r>
    </w:p>
    <w:p w:rsidR="00CE21B3" w:rsidRDefault="00CE21B3" w:rsidP="00CE21B3">
      <w:pPr>
        <w:ind w:left="0" w:firstLine="0"/>
      </w:pPr>
    </w:p>
    <w:p w:rsidR="00CE21B3" w:rsidRDefault="00CE21B3" w:rsidP="00CE21B3">
      <w:pPr>
        <w:ind w:left="0" w:firstLine="0"/>
      </w:pPr>
    </w:p>
    <w:p w:rsidR="00CE21B3" w:rsidRDefault="00CE21B3" w:rsidP="00CE21B3">
      <w:pPr>
        <w:ind w:left="0" w:firstLine="0"/>
      </w:pPr>
      <w:r>
        <w:t xml:space="preserve">Traunstein, den </w:t>
      </w:r>
      <w:r w:rsidR="00773AE1">
        <w:t>19.03</w:t>
      </w:r>
      <w:r>
        <w:t>.2021</w:t>
      </w:r>
    </w:p>
    <w:p w:rsidR="00CE21B3" w:rsidRDefault="00CE21B3" w:rsidP="00CE21B3">
      <w:pPr>
        <w:ind w:left="0" w:firstLine="0"/>
      </w:pPr>
      <w:r>
        <w:t xml:space="preserve">Landratsamt Traunstein </w:t>
      </w:r>
    </w:p>
    <w:p w:rsidR="00CE21B3" w:rsidRDefault="00CE21B3" w:rsidP="00CE21B3">
      <w:pPr>
        <w:ind w:left="0" w:firstLine="0"/>
      </w:pPr>
      <w:bookmarkStart w:id="1" w:name="os_autosavelastposition3350834"/>
      <w:bookmarkEnd w:id="1"/>
    </w:p>
    <w:p w:rsidR="00CE21B3" w:rsidRDefault="00CE21B3" w:rsidP="00CE21B3">
      <w:pPr>
        <w:ind w:left="0" w:firstLine="0"/>
      </w:pPr>
    </w:p>
    <w:p w:rsidR="00CE21B3" w:rsidRDefault="00CE21B3" w:rsidP="00CE21B3">
      <w:pPr>
        <w:ind w:left="0" w:firstLine="0"/>
      </w:pPr>
      <w:r>
        <w:t>Christian Nebl</w:t>
      </w:r>
    </w:p>
    <w:p w:rsidR="00CE21B3" w:rsidRDefault="00CE21B3" w:rsidP="00CE21B3">
      <w:pPr>
        <w:ind w:left="0" w:firstLine="0"/>
      </w:pPr>
      <w:r>
        <w:t>Abteilungsleiter</w:t>
      </w:r>
    </w:p>
    <w:p w:rsidR="00CD5D24" w:rsidRDefault="00CD5D24" w:rsidP="00DE6EE4">
      <w:pPr>
        <w:ind w:left="0" w:firstLine="0"/>
      </w:pPr>
    </w:p>
    <w:sectPr w:rsidR="00CD5D24" w:rsidSect="00DE6EE4">
      <w:headerReference w:type="default" r:id="rId4"/>
      <w:footerReference w:type="default" r:id="rId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BD" w:rsidRDefault="00BF5C7D" w:rsidP="00F45EBD">
    <w:pPr>
      <w:pStyle w:val="Fuzeile"/>
      <w:jc w:val="center"/>
      <w:rPr>
        <w:rFonts w:ascii="Arial" w:hAnsi="Arial"/>
        <w:sz w:val="16"/>
        <w:szCs w:val="16"/>
      </w:rPr>
    </w:pPr>
  </w:p>
  <w:p w:rsidR="00F45EBD" w:rsidRDefault="00BF5C7D" w:rsidP="00F45EBD">
    <w:pPr>
      <w:pStyle w:val="Fuzeile"/>
      <w:jc w:val="center"/>
      <w:rPr>
        <w:rFonts w:ascii="Arial" w:hAnsi="Arial"/>
        <w:sz w:val="16"/>
        <w:szCs w:val="16"/>
      </w:rPr>
    </w:pPr>
  </w:p>
  <w:p w:rsidR="00F45EBD" w:rsidRPr="007E6550" w:rsidRDefault="00BF5C7D" w:rsidP="00F45EBD">
    <w:pPr>
      <w:pStyle w:val="Fuzeile"/>
      <w:jc w:val="center"/>
      <w:rPr>
        <w:rFonts w:ascii="Arial" w:hAnsi="Arial"/>
        <w:sz w:val="16"/>
        <w:szCs w:val="16"/>
      </w:rPr>
    </w:pPr>
  </w:p>
  <w:p w:rsidR="00F45EBD" w:rsidRDefault="00BF5C7D" w:rsidP="00F45EBD">
    <w:pPr>
      <w:framePr w:w="9083" w:h="720" w:hSpace="142" w:wrap="around" w:vAnchor="page" w:hAnchor="page" w:x="1539" w:y="15841" w:anchorLock="1"/>
      <w:rPr>
        <w:rFonts w:ascii="Calibri" w:hAnsi="Calibri"/>
        <w:sz w:val="16"/>
        <w:szCs w:val="16"/>
      </w:rPr>
    </w:pPr>
    <w:r>
      <w:rPr>
        <w:rFonts w:ascii="Calibri Bold" w:hAnsi="Calibri Bold"/>
        <w:sz w:val="16"/>
        <w:szCs w:val="16"/>
      </w:rPr>
      <w:t>Postanschrift:</w:t>
    </w:r>
    <w:r>
      <w:rPr>
        <w:rFonts w:ascii="Calibri" w:hAnsi="Calibri"/>
        <w:sz w:val="16"/>
        <w:szCs w:val="16"/>
      </w:rPr>
      <w:t xml:space="preserve"> Papst-Benedikt-XVI.-Platz | 83278 Traunstein | Telefon: +49 861 58-0 | www.traunstein.bayern</w:t>
    </w:r>
  </w:p>
  <w:p w:rsidR="00F45EBD" w:rsidRDefault="00BF5C7D" w:rsidP="00F45EBD">
    <w:pPr>
      <w:framePr w:w="9083" w:h="720" w:hSpace="142" w:wrap="around" w:vAnchor="page" w:hAnchor="page" w:x="1539" w:y="15841" w:anchorLock="1"/>
      <w:rPr>
        <w:rFonts w:ascii="Calibri" w:hAnsi="Calibri"/>
        <w:sz w:val="16"/>
        <w:szCs w:val="16"/>
      </w:rPr>
    </w:pPr>
    <w:r>
      <w:rPr>
        <w:rFonts w:ascii="Calibri Bold" w:hAnsi="Calibri Bold"/>
        <w:sz w:val="16"/>
        <w:szCs w:val="16"/>
      </w:rPr>
      <w:t>Bankverbindung:</w:t>
    </w:r>
    <w:r>
      <w:rPr>
        <w:rFonts w:ascii="Calibri" w:hAnsi="Calibri"/>
        <w:sz w:val="16"/>
        <w:szCs w:val="16"/>
      </w:rPr>
      <w:t xml:space="preserve"> Kreissparkasse Traunstein | IBAN: DE96 7105 2050 0000 0000 18 | BIC: BYLADEM1TST</w:t>
    </w:r>
  </w:p>
  <w:p w:rsidR="00F45EBD" w:rsidRDefault="00BF5C7D" w:rsidP="00F45EBD">
    <w:pPr>
      <w:framePr w:w="9083" w:h="720" w:hSpace="142" w:wrap="around" w:vAnchor="page" w:hAnchor="page" w:x="1539" w:y="15841" w:anchorLock="1"/>
      <w:rPr>
        <w:rFonts w:ascii="Calibri" w:hAnsi="Calibri"/>
        <w:sz w:val="16"/>
        <w:szCs w:val="16"/>
      </w:rPr>
    </w:pPr>
    <w:r>
      <w:rPr>
        <w:rFonts w:ascii="Calibri Bold" w:hAnsi="Calibri Bold"/>
        <w:sz w:val="16"/>
        <w:szCs w:val="16"/>
      </w:rPr>
      <w:t>Öffnungszeiten:</w:t>
    </w:r>
    <w:r>
      <w:rPr>
        <w:rFonts w:ascii="Calibri" w:hAnsi="Calibri"/>
        <w:sz w:val="16"/>
        <w:szCs w:val="16"/>
      </w:rPr>
      <w:t xml:space="preserve"> Mo bis Do: von 08:00 bis 12:00 Uhr und 13:30 bis 16:00 Uhr | Fr: von 08:00 bis 12:00 Uhr</w:t>
    </w:r>
  </w:p>
  <w:p w:rsidR="00F45EBD" w:rsidRDefault="00BF5C7D" w:rsidP="00F45EBD">
    <w:pPr>
      <w:pStyle w:val="KeinLeerraum"/>
      <w:framePr w:w="9083" w:h="720" w:hSpace="142" w:wrap="around" w:vAnchor="page" w:hAnchor="page" w:x="1539" w:y="15841" w:anchorLock="1"/>
      <w:ind w:left="7788" w:firstLine="708"/>
      <w:jc w:val="center"/>
      <w:rPr>
        <w:rFonts w:asciiTheme="majorHAnsi" w:hAnsiTheme="majorHAnsi" w:cs="Times"/>
        <w:sz w:val="16"/>
        <w:szCs w:val="20"/>
      </w:rPr>
    </w:pPr>
    <w:r>
      <w:rPr>
        <w:rStyle w:val="Seitenzahl"/>
        <w:rFonts w:asciiTheme="majorHAnsi" w:hAnsiTheme="majorHAnsi"/>
        <w:sz w:val="16"/>
        <w:szCs w:val="20"/>
      </w:rPr>
      <w:t xml:space="preserve">- </w:t>
    </w:r>
    <w:r>
      <w:rPr>
        <w:rStyle w:val="Seitenzahl"/>
        <w:rFonts w:asciiTheme="majorHAnsi" w:hAnsiTheme="majorHAnsi"/>
        <w:sz w:val="16"/>
        <w:szCs w:val="20"/>
      </w:rPr>
      <w:fldChar w:fldCharType="begin"/>
    </w:r>
    <w:r>
      <w:rPr>
        <w:rStyle w:val="Seitenzahl"/>
        <w:rFonts w:asciiTheme="majorHAnsi" w:hAnsiTheme="majorHAnsi"/>
        <w:sz w:val="16"/>
        <w:szCs w:val="20"/>
      </w:rPr>
      <w:instrText xml:space="preserve"> PAGE </w:instrText>
    </w:r>
    <w:r>
      <w:rPr>
        <w:rStyle w:val="Seitenzahl"/>
        <w:rFonts w:asciiTheme="majorHAnsi" w:hAnsiTheme="majorHAnsi"/>
        <w:sz w:val="16"/>
        <w:szCs w:val="20"/>
      </w:rPr>
      <w:fldChar w:fldCharType="separate"/>
    </w:r>
    <w:r>
      <w:rPr>
        <w:rStyle w:val="Seitenzahl"/>
        <w:rFonts w:asciiTheme="majorHAnsi" w:hAnsiTheme="majorHAnsi"/>
        <w:noProof/>
        <w:sz w:val="16"/>
        <w:szCs w:val="20"/>
      </w:rPr>
      <w:t>1</w:t>
    </w:r>
    <w:r>
      <w:rPr>
        <w:rStyle w:val="Seitenzahl"/>
        <w:rFonts w:asciiTheme="majorHAnsi" w:hAnsiTheme="majorHAnsi"/>
        <w:sz w:val="16"/>
        <w:szCs w:val="20"/>
      </w:rPr>
      <w:fldChar w:fldCharType="end"/>
    </w:r>
    <w:r>
      <w:rPr>
        <w:rStyle w:val="Seitenzahl"/>
        <w:rFonts w:asciiTheme="majorHAnsi" w:hAnsiTheme="majorHAnsi"/>
        <w:sz w:val="16"/>
        <w:szCs w:val="20"/>
      </w:rPr>
      <w:t xml:space="preserve"> -</w:t>
    </w:r>
  </w:p>
  <w:p w:rsidR="00F45EBD" w:rsidRDefault="00BF5C7D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BD" w:rsidRPr="000C56E4" w:rsidRDefault="00BF5C7D" w:rsidP="00F45EBD">
    <w:pPr>
      <w:pStyle w:val="Kopfzeile"/>
      <w:rPr>
        <w:lang w:eastAsia="de-DE"/>
      </w:rPr>
    </w:pPr>
    <w:r w:rsidRPr="000C56E4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F9124AC" wp14:editId="7E38CA20">
          <wp:simplePos x="0" y="0"/>
          <wp:positionH relativeFrom="column">
            <wp:posOffset>4096385</wp:posOffset>
          </wp:positionH>
          <wp:positionV relativeFrom="paragraph">
            <wp:posOffset>114461</wp:posOffset>
          </wp:positionV>
          <wp:extent cx="1842770" cy="992505"/>
          <wp:effectExtent l="0" t="0" r="5080" b="0"/>
          <wp:wrapNone/>
          <wp:docPr id="3" name="Bild 1" descr="aktuelle Jobs:L:LRA_Landratsamt Traunstein:LRA_17121_BB_0417:1017:LRA-T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ktuelle Jobs:L:LRA_Landratsamt Traunstein:LRA_17121_BB_0417:1017:LRA-T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EBD" w:rsidRDefault="00BF5C7D" w:rsidP="00F45EBD"/>
  <w:p w:rsidR="00F45EBD" w:rsidRDefault="00BF5C7D" w:rsidP="00F45EBD"/>
  <w:p w:rsidR="00F45EBD" w:rsidRDefault="00BF5C7D" w:rsidP="00F45EBD"/>
  <w:p w:rsidR="00F45EBD" w:rsidRDefault="00BF5C7D" w:rsidP="00F45EBD"/>
  <w:p w:rsidR="00F45EBD" w:rsidRDefault="00BF5C7D" w:rsidP="00F45EBD"/>
  <w:p w:rsidR="00F45EBD" w:rsidRDefault="00BF5C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E4"/>
    <w:rsid w:val="00100379"/>
    <w:rsid w:val="00404F8B"/>
    <w:rsid w:val="00773AE1"/>
    <w:rsid w:val="00780678"/>
    <w:rsid w:val="00BA66AA"/>
    <w:rsid w:val="00BF5C7D"/>
    <w:rsid w:val="00CD5D24"/>
    <w:rsid w:val="00CE21B3"/>
    <w:rsid w:val="00D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2057"/>
  <w15:docId w15:val="{0FC3DCE9-6501-4EFB-A034-9228F7EB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ind w:left="709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6AA"/>
    <w:pPr>
      <w:widowControl w:val="0"/>
      <w:autoSpaceDN w:val="0"/>
      <w:textAlignment w:val="baseline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E2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E21B3"/>
    <w:rPr>
      <w:rFonts w:asciiTheme="minorHAnsi" w:hAnsiTheme="minorHAnsi"/>
    </w:rPr>
  </w:style>
  <w:style w:type="paragraph" w:styleId="Fuzeile">
    <w:name w:val="footer"/>
    <w:basedOn w:val="Standard"/>
    <w:link w:val="FuzeileZchn"/>
    <w:unhideWhenUsed/>
    <w:rsid w:val="00CE21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E21B3"/>
    <w:rPr>
      <w:rFonts w:asciiTheme="minorHAnsi" w:hAnsiTheme="minorHAnsi"/>
    </w:rPr>
  </w:style>
  <w:style w:type="character" w:styleId="Seitenzahl">
    <w:name w:val="page number"/>
    <w:basedOn w:val="Absatz-Standardschriftart"/>
    <w:uiPriority w:val="99"/>
    <w:rsid w:val="00CE21B3"/>
  </w:style>
  <w:style w:type="paragraph" w:styleId="KeinLeerraum">
    <w:name w:val="No Spacing"/>
    <w:uiPriority w:val="1"/>
    <w:qFormat/>
    <w:rsid w:val="00CE21B3"/>
    <w:pPr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Ausfelder, Christian</dc:creator>
  <cp:lastModifiedBy>Thurner, Martin</cp:lastModifiedBy>
  <cp:revision>6</cp:revision>
  <dcterms:created xsi:type="dcterms:W3CDTF">2015-04-22T10:41:00Z</dcterms:created>
  <dcterms:modified xsi:type="dcterms:W3CDTF">2021-03-18T13:56:00Z</dcterms:modified>
</cp:coreProperties>
</file>