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1411" w14:textId="77777777" w:rsidR="00E12897" w:rsidRDefault="00E12897" w:rsidP="000537E9">
      <w:pPr>
        <w:tabs>
          <w:tab w:val="center" w:pos="4513"/>
        </w:tabs>
        <w:spacing w:line="240" w:lineRule="atLeast"/>
      </w:pPr>
    </w:p>
    <w:p w14:paraId="69F54931" w14:textId="77777777" w:rsidR="000537E9" w:rsidRPr="005128F5" w:rsidRDefault="000537E9" w:rsidP="000537E9">
      <w:pPr>
        <w:tabs>
          <w:tab w:val="center" w:pos="4513"/>
        </w:tabs>
        <w:spacing w:line="240" w:lineRule="atLeast"/>
        <w:rPr>
          <w:rFonts w:ascii="Arial Narrow" w:hAnsi="Arial Narrow"/>
          <w:b/>
        </w:rPr>
      </w:pPr>
      <w:r w:rsidRPr="005E0731">
        <w:tab/>
      </w:r>
      <w:r w:rsidRPr="005128F5">
        <w:rPr>
          <w:rFonts w:ascii="Arial Narrow" w:hAnsi="Arial Narrow"/>
          <w:b/>
        </w:rPr>
        <w:t xml:space="preserve">Feststellung des Unterbleibens einer Umweltverträglichkeitsprüfung (UVP) </w:t>
      </w:r>
    </w:p>
    <w:p w14:paraId="55213AC7" w14:textId="6B36EACD" w:rsidR="000537E9" w:rsidRPr="005128F5" w:rsidRDefault="00B1765B" w:rsidP="005128F5">
      <w:pPr>
        <w:tabs>
          <w:tab w:val="center" w:pos="4513"/>
        </w:tabs>
        <w:spacing w:line="240" w:lineRule="atLeast"/>
        <w:jc w:val="center"/>
        <w:rPr>
          <w:rFonts w:ascii="Arial Narrow" w:hAnsi="Arial Narrow"/>
        </w:rPr>
      </w:pPr>
      <w:r w:rsidRPr="005128F5">
        <w:rPr>
          <w:rFonts w:ascii="Arial Narrow" w:hAnsi="Arial Narrow"/>
          <w:b/>
        </w:rPr>
        <w:t xml:space="preserve">für die </w:t>
      </w:r>
      <w:r w:rsidR="005128F5">
        <w:rPr>
          <w:rFonts w:ascii="Arial Narrow" w:hAnsi="Arial Narrow"/>
          <w:b/>
        </w:rPr>
        <w:t>d</w:t>
      </w:r>
      <w:r w:rsidR="005128F5" w:rsidRPr="00C51412">
        <w:rPr>
          <w:rFonts w:ascii="Arial Narrow" w:hAnsi="Arial Narrow"/>
          <w:b/>
        </w:rPr>
        <w:t xml:space="preserve">ritte Änderung des Planfeststellungsbeschlusses (Reg. - Nr.: </w:t>
      </w:r>
      <w:r w:rsidR="005128F5">
        <w:rPr>
          <w:rFonts w:ascii="Arial Narrow" w:hAnsi="Arial Narrow"/>
          <w:b/>
        </w:rPr>
        <w:t xml:space="preserve">OWB/069/19/PF) für das Vorhaben </w:t>
      </w:r>
      <w:r w:rsidR="005128F5" w:rsidRPr="00C51412">
        <w:rPr>
          <w:rFonts w:ascii="Arial Narrow" w:hAnsi="Arial Narrow"/>
          <w:b/>
        </w:rPr>
        <w:t>„Verbesserung des Hochwasserschutzes in Fran</w:t>
      </w:r>
      <w:r w:rsidR="005128F5">
        <w:rPr>
          <w:rFonts w:ascii="Arial Narrow" w:hAnsi="Arial Narrow"/>
          <w:b/>
        </w:rPr>
        <w:t xml:space="preserve">kfurt (Oder) Abschnitt 2 und 1" vom 10. August 2021 </w:t>
      </w:r>
      <w:r w:rsidR="005128F5" w:rsidRPr="00C51412">
        <w:rPr>
          <w:rFonts w:ascii="Arial Narrow" w:hAnsi="Arial Narrow"/>
          <w:b/>
        </w:rPr>
        <w:t>hinsichtlich der Einleitung v</w:t>
      </w:r>
      <w:r w:rsidR="005128F5">
        <w:rPr>
          <w:rFonts w:ascii="Arial Narrow" w:hAnsi="Arial Narrow"/>
          <w:b/>
        </w:rPr>
        <w:t xml:space="preserve">on Baugrubenwasser in die Oder </w:t>
      </w:r>
      <w:r w:rsidR="005128F5" w:rsidRPr="00C51412">
        <w:rPr>
          <w:rFonts w:ascii="Arial Narrow" w:hAnsi="Arial Narrow"/>
          <w:b/>
        </w:rPr>
        <w:t>aus der Baugrube innerhalb des Gewässerquerschnittes der Od</w:t>
      </w:r>
      <w:r w:rsidR="005128F5">
        <w:rPr>
          <w:rFonts w:ascii="Arial Narrow" w:hAnsi="Arial Narrow"/>
          <w:b/>
        </w:rPr>
        <w:t xml:space="preserve">er (Fluss-km 584,320 – 584,700) </w:t>
      </w:r>
      <w:r w:rsidR="005128F5" w:rsidRPr="00C51412">
        <w:rPr>
          <w:rFonts w:ascii="Arial Narrow" w:hAnsi="Arial Narrow"/>
          <w:b/>
        </w:rPr>
        <w:t>und Vorbehalt der Ergänzung zum Kolkschutz</w:t>
      </w:r>
    </w:p>
    <w:p w14:paraId="76D8B955" w14:textId="77777777" w:rsidR="000537E9" w:rsidRPr="005128F5" w:rsidRDefault="000537E9" w:rsidP="000537E9">
      <w:pPr>
        <w:tabs>
          <w:tab w:val="center" w:pos="4513"/>
        </w:tabs>
        <w:spacing w:line="240" w:lineRule="atLeast"/>
        <w:jc w:val="center"/>
        <w:rPr>
          <w:rFonts w:ascii="Arial Narrow" w:hAnsi="Arial Narrow"/>
        </w:rPr>
      </w:pPr>
      <w:r w:rsidRPr="005128F5">
        <w:rPr>
          <w:rFonts w:ascii="Arial Narrow" w:hAnsi="Arial Narrow"/>
        </w:rPr>
        <w:t xml:space="preserve">Bekanntmachung des </w:t>
      </w:r>
      <w:r w:rsidRPr="005128F5">
        <w:rPr>
          <w:rFonts w:ascii="Arial Narrow" w:hAnsi="Arial Narrow" w:cs="Arial"/>
        </w:rPr>
        <w:t>Landesamtes für Umwelt</w:t>
      </w:r>
    </w:p>
    <w:p w14:paraId="734AF84C" w14:textId="0A9B256A" w:rsidR="000537E9" w:rsidRPr="005128F5" w:rsidRDefault="000537E9" w:rsidP="000537E9">
      <w:pPr>
        <w:pStyle w:val="Textkrper2"/>
        <w:tabs>
          <w:tab w:val="center" w:pos="4513"/>
        </w:tabs>
        <w:spacing w:line="240" w:lineRule="atLeast"/>
        <w:jc w:val="center"/>
        <w:rPr>
          <w:rFonts w:ascii="Arial Narrow" w:hAnsi="Arial Narrow"/>
          <w:sz w:val="24"/>
          <w:szCs w:val="24"/>
        </w:rPr>
      </w:pPr>
      <w:r w:rsidRPr="005128F5">
        <w:rPr>
          <w:rFonts w:ascii="Arial Narrow" w:hAnsi="Arial Narrow"/>
          <w:sz w:val="24"/>
          <w:szCs w:val="24"/>
        </w:rPr>
        <w:t>Vom</w:t>
      </w:r>
      <w:r w:rsidR="005128F5">
        <w:rPr>
          <w:rFonts w:ascii="Arial Narrow" w:hAnsi="Arial Narrow"/>
          <w:sz w:val="24"/>
          <w:szCs w:val="24"/>
        </w:rPr>
        <w:t xml:space="preserve"> 2</w:t>
      </w:r>
      <w:r w:rsidR="005B397D" w:rsidRPr="005128F5">
        <w:rPr>
          <w:rFonts w:ascii="Arial Narrow" w:hAnsi="Arial Narrow"/>
          <w:sz w:val="24"/>
          <w:szCs w:val="24"/>
        </w:rPr>
        <w:t>.</w:t>
      </w:r>
      <w:r w:rsidR="00262A34" w:rsidRPr="005128F5">
        <w:rPr>
          <w:rFonts w:ascii="Arial Narrow" w:hAnsi="Arial Narrow"/>
          <w:sz w:val="24"/>
          <w:szCs w:val="24"/>
        </w:rPr>
        <w:t xml:space="preserve"> </w:t>
      </w:r>
      <w:r w:rsidR="005128F5">
        <w:rPr>
          <w:rFonts w:ascii="Arial Narrow" w:hAnsi="Arial Narrow"/>
          <w:sz w:val="24"/>
          <w:szCs w:val="24"/>
        </w:rPr>
        <w:t>April 2024</w:t>
      </w:r>
    </w:p>
    <w:p w14:paraId="1E247692" w14:textId="77777777" w:rsidR="000537E9" w:rsidRPr="005128F5" w:rsidRDefault="000537E9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/>
        </w:rPr>
      </w:pPr>
    </w:p>
    <w:p w14:paraId="225B1071" w14:textId="7BFB9F82" w:rsidR="00B122A2" w:rsidRPr="005128F5" w:rsidRDefault="00B122A2" w:rsidP="00222768">
      <w:pPr>
        <w:spacing w:after="120"/>
        <w:jc w:val="both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Mit Planf</w:t>
      </w:r>
      <w:r w:rsidR="00434C7E">
        <w:rPr>
          <w:rFonts w:ascii="Arial Narrow" w:hAnsi="Arial Narrow" w:cs="Arial"/>
        </w:rPr>
        <w:t xml:space="preserve">eststellungsbeschluss vom 10. August </w:t>
      </w:r>
      <w:r w:rsidRPr="005128F5">
        <w:rPr>
          <w:rFonts w:ascii="Arial Narrow" w:hAnsi="Arial Narrow" w:cs="Arial"/>
        </w:rPr>
        <w:t>2021 wurde das Vorhaben „Verbesserung des Hochwasserschutzes in Frankfurt (Oder) Abschnitt 2 und 1 (Oder-km 584,14) bis Ziegelstraße (Oder-km 584,70) " zugelassen. Für das Vorhaben wurde eine Umweltverträglichkeitsprüfung durchgeführt.</w:t>
      </w:r>
    </w:p>
    <w:p w14:paraId="4F927766" w14:textId="5FEE1D11" w:rsidR="00277090" w:rsidRDefault="00AD690D" w:rsidP="00222768">
      <w:pPr>
        <w:spacing w:after="120"/>
        <w:jc w:val="both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Nunmehr hat der Vorhaben</w:t>
      </w:r>
      <w:r w:rsidR="00B122A2" w:rsidRPr="005128F5">
        <w:rPr>
          <w:rFonts w:ascii="Arial Narrow" w:hAnsi="Arial Narrow" w:cs="Arial"/>
        </w:rPr>
        <w:t>träger, das Landesamtes für Umwelt, Referat W21 (Hochwasserschutz, Investive</w:t>
      </w:r>
      <w:r w:rsidR="00E03F9E" w:rsidRPr="005128F5">
        <w:rPr>
          <w:rFonts w:ascii="Arial Narrow" w:hAnsi="Arial Narrow" w:cs="Arial"/>
        </w:rPr>
        <w:t>r Wasserbau) die Genehmigung d</w:t>
      </w:r>
      <w:r w:rsidR="00B122A2" w:rsidRPr="005128F5">
        <w:rPr>
          <w:rFonts w:ascii="Arial Narrow" w:hAnsi="Arial Narrow" w:cs="Arial"/>
        </w:rPr>
        <w:t xml:space="preserve">er </w:t>
      </w:r>
      <w:r w:rsidR="00277090">
        <w:rPr>
          <w:rFonts w:ascii="Arial Narrow" w:hAnsi="Arial Narrow" w:cs="Arial"/>
        </w:rPr>
        <w:t>drit</w:t>
      </w:r>
      <w:r w:rsidR="00E03F9E" w:rsidRPr="005128F5">
        <w:rPr>
          <w:rFonts w:ascii="Arial Narrow" w:hAnsi="Arial Narrow" w:cs="Arial"/>
        </w:rPr>
        <w:t xml:space="preserve">ten </w:t>
      </w:r>
      <w:r w:rsidR="00B122A2" w:rsidRPr="005128F5">
        <w:rPr>
          <w:rFonts w:ascii="Arial Narrow" w:hAnsi="Arial Narrow" w:cs="Arial"/>
        </w:rPr>
        <w:t xml:space="preserve">Änderung der festgestellten Planung beantragt. </w:t>
      </w:r>
      <w:r w:rsidR="00277090">
        <w:rPr>
          <w:rFonts w:ascii="Arial Narrow" w:hAnsi="Arial Narrow" w:cs="Arial"/>
        </w:rPr>
        <w:t>Der derzeitige Änderungsantrag sieht vor, dass Baugrubenwasser</w:t>
      </w:r>
      <w:r w:rsidR="00277090" w:rsidRPr="00277090">
        <w:rPr>
          <w:rFonts w:ascii="Arial Narrow" w:hAnsi="Arial Narrow" w:cs="Arial"/>
        </w:rPr>
        <w:t xml:space="preserve"> nach Herstellung der temporären Unterwasserbetonsohle aus der Baugrube zwischen temporärer Spundwand und der neu</w:t>
      </w:r>
      <w:r w:rsidR="00277090">
        <w:rPr>
          <w:rFonts w:ascii="Arial Narrow" w:hAnsi="Arial Narrow" w:cs="Arial"/>
        </w:rPr>
        <w:t>en Bohrpfahlwand in die Oder eingeleitet werden soll.</w:t>
      </w:r>
    </w:p>
    <w:p w14:paraId="4219E07C" w14:textId="1E85F74D" w:rsidR="000537E9" w:rsidRPr="005128F5" w:rsidRDefault="005C005B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/>
        </w:rPr>
      </w:pPr>
      <w:r w:rsidRPr="005128F5">
        <w:rPr>
          <w:rFonts w:ascii="Arial Narrow" w:hAnsi="Arial Narrow"/>
        </w:rPr>
        <w:t>Nach den §§ 5</w:t>
      </w:r>
      <w:r w:rsidR="00AD690D" w:rsidRPr="005128F5">
        <w:rPr>
          <w:rFonts w:ascii="Arial Narrow" w:hAnsi="Arial Narrow"/>
        </w:rPr>
        <w:t>, 9</w:t>
      </w:r>
      <w:r w:rsidR="00B05C53" w:rsidRPr="005128F5">
        <w:rPr>
          <w:rFonts w:ascii="Arial Narrow" w:hAnsi="Arial Narrow"/>
        </w:rPr>
        <w:t> ff.</w:t>
      </w:r>
      <w:r w:rsidR="000537E9" w:rsidRPr="005128F5">
        <w:rPr>
          <w:rFonts w:ascii="Arial Narrow" w:hAnsi="Arial Narrow"/>
        </w:rPr>
        <w:t xml:space="preserve"> des Gesetzes über die Umweltverträglichkeitsprüfung (</w:t>
      </w:r>
      <w:r w:rsidRPr="005128F5">
        <w:rPr>
          <w:rFonts w:ascii="Arial Narrow" w:hAnsi="Arial Narrow"/>
        </w:rPr>
        <w:t>UVPG) i</w:t>
      </w:r>
      <w:r w:rsidR="00AD690D" w:rsidRPr="005128F5">
        <w:rPr>
          <w:rFonts w:ascii="Arial Narrow" w:hAnsi="Arial Narrow"/>
        </w:rPr>
        <w:t>n Verbindung mit der Nr.</w:t>
      </w:r>
      <w:r w:rsidRPr="005128F5">
        <w:rPr>
          <w:rFonts w:ascii="Arial Narrow" w:hAnsi="Arial Narrow"/>
        </w:rPr>
        <w:t> </w:t>
      </w:r>
      <w:r w:rsidR="00AD690D" w:rsidRPr="005128F5">
        <w:rPr>
          <w:rFonts w:ascii="Arial Narrow" w:hAnsi="Arial Narrow"/>
        </w:rPr>
        <w:t xml:space="preserve">13.18 </w:t>
      </w:r>
      <w:r w:rsidRPr="005128F5">
        <w:rPr>
          <w:rFonts w:ascii="Arial Narrow" w:hAnsi="Arial Narrow"/>
        </w:rPr>
        <w:t>der Anlage 1 zum </w:t>
      </w:r>
      <w:r w:rsidR="000537E9" w:rsidRPr="005128F5">
        <w:rPr>
          <w:rFonts w:ascii="Arial Narrow" w:hAnsi="Arial Narrow"/>
        </w:rPr>
        <w:t>UVPG war für d</w:t>
      </w:r>
      <w:r w:rsidR="00AD690D" w:rsidRPr="005128F5">
        <w:rPr>
          <w:rFonts w:ascii="Arial Narrow" w:hAnsi="Arial Narrow"/>
        </w:rPr>
        <w:t>ie beantragte Änderung</w:t>
      </w:r>
      <w:r w:rsidR="000537E9" w:rsidRPr="005128F5">
        <w:rPr>
          <w:rFonts w:ascii="Arial Narrow" w:hAnsi="Arial Narrow"/>
        </w:rPr>
        <w:t xml:space="preserve"> eine </w:t>
      </w:r>
      <w:r w:rsidR="001F2F42" w:rsidRPr="005128F5">
        <w:rPr>
          <w:rFonts w:ascii="Arial Narrow" w:hAnsi="Arial Narrow"/>
        </w:rPr>
        <w:t>allgemeine</w:t>
      </w:r>
      <w:r w:rsidR="009F120D" w:rsidRPr="005128F5">
        <w:rPr>
          <w:rFonts w:ascii="Arial Narrow" w:hAnsi="Arial Narrow"/>
        </w:rPr>
        <w:t xml:space="preserve"> </w:t>
      </w:r>
      <w:r w:rsidR="000537E9" w:rsidRPr="005128F5">
        <w:rPr>
          <w:rFonts w:ascii="Arial Narrow" w:hAnsi="Arial Narrow"/>
        </w:rPr>
        <w:t>Vorprüfung des Einzelfalles durchzuführen.</w:t>
      </w:r>
    </w:p>
    <w:p w14:paraId="41F1DCE0" w14:textId="0162B15A" w:rsidR="000537E9" w:rsidRPr="005128F5" w:rsidRDefault="000537E9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/>
        </w:rPr>
      </w:pPr>
      <w:r w:rsidRPr="005128F5">
        <w:rPr>
          <w:rFonts w:ascii="Arial Narrow" w:hAnsi="Arial Narrow"/>
        </w:rPr>
        <w:t xml:space="preserve">Im Ergebnis dieser Vorprüfung wurde festgestellt, dass für </w:t>
      </w:r>
      <w:r w:rsidR="00E03F9E" w:rsidRPr="005128F5">
        <w:rPr>
          <w:rFonts w:ascii="Arial Narrow" w:hAnsi="Arial Narrow"/>
        </w:rPr>
        <w:t>die vorstehend beschriebene Änderung</w:t>
      </w:r>
      <w:r w:rsidRPr="005128F5">
        <w:rPr>
          <w:rFonts w:ascii="Arial Narrow" w:hAnsi="Arial Narrow"/>
        </w:rPr>
        <w:t xml:space="preserve"> keine UVP-Pflicht besteht.</w:t>
      </w:r>
    </w:p>
    <w:p w14:paraId="7AC8F37A" w14:textId="7740CD36" w:rsidR="00717333" w:rsidRPr="005128F5" w:rsidRDefault="00717333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/>
        </w:rPr>
      </w:pPr>
      <w:r w:rsidRPr="005128F5">
        <w:rPr>
          <w:rFonts w:ascii="Arial Narrow" w:hAnsi="Arial Narrow"/>
        </w:rPr>
        <w:t>Diese Feststellung beruht auf den folgenden wesentlichen Gründe</w:t>
      </w:r>
      <w:r w:rsidR="00930DE1" w:rsidRPr="005128F5">
        <w:rPr>
          <w:rFonts w:ascii="Arial Narrow" w:hAnsi="Arial Narrow"/>
        </w:rPr>
        <w:t>n</w:t>
      </w:r>
      <w:r w:rsidRPr="005128F5">
        <w:rPr>
          <w:rFonts w:ascii="Arial Narrow" w:hAnsi="Arial Narrow"/>
        </w:rPr>
        <w:t>:</w:t>
      </w:r>
    </w:p>
    <w:p w14:paraId="094C602B" w14:textId="5E8040A8" w:rsidR="00AF4EFB" w:rsidRPr="00AF4EFB" w:rsidRDefault="00AF4EFB" w:rsidP="00AF4EFB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AF4EFB">
        <w:rPr>
          <w:rFonts w:ascii="Arial Narrow" w:hAnsi="Arial Narrow"/>
        </w:rPr>
        <w:t>ie Möglichkeit einer erheblichen Beeinträchtigung eines der Schutzgüter des UVPG, insbesondere für das Schutzgut Wasser</w:t>
      </w:r>
      <w:r>
        <w:rPr>
          <w:rFonts w:ascii="Arial Narrow" w:hAnsi="Arial Narrow"/>
        </w:rPr>
        <w:t>,</w:t>
      </w:r>
      <w:r w:rsidRPr="00AF4EF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infolge der Planänderung kann </w:t>
      </w:r>
      <w:r w:rsidRPr="00AF4EFB">
        <w:rPr>
          <w:rFonts w:ascii="Arial Narrow" w:hAnsi="Arial Narrow"/>
        </w:rPr>
        <w:t>ausgeschlossen werden.</w:t>
      </w:r>
    </w:p>
    <w:p w14:paraId="5AEB7FCD" w14:textId="56B7EF88" w:rsidR="00AF4EFB" w:rsidRDefault="00AF4EFB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/>
        </w:rPr>
      </w:pPr>
      <w:r w:rsidRPr="00AF4EFB">
        <w:rPr>
          <w:rFonts w:ascii="Arial Narrow" w:hAnsi="Arial Narrow"/>
        </w:rPr>
        <w:t xml:space="preserve">Die Vermeidung von erheblichen Beeinträchtigungen des Schutzgutes Wasser beruht im Wesentlichen auf folgenden Maßnahmen: Die Baugrube wird nochmals in 6 Abschnitte unterteilt und jeweils nur das Baugrubenwasser aus einem Abschnitt abgepumpt. Die maximale Pumpleistung ist auf 100 m³/h (27,8 l/s) begrenzt, was im Hinblick auf den Abfluss der Oder eine verschwindend geringe Menge ist. Die Einleitgeschwindigkeit darf max. 1,5 m/s betragen. </w:t>
      </w:r>
      <w:proofErr w:type="spellStart"/>
      <w:r w:rsidRPr="00AF4EFB">
        <w:rPr>
          <w:rFonts w:ascii="Arial Narrow" w:hAnsi="Arial Narrow"/>
        </w:rPr>
        <w:t>Abfiltrierbare</w:t>
      </w:r>
      <w:proofErr w:type="spellEnd"/>
      <w:r w:rsidRPr="00AF4EFB">
        <w:rPr>
          <w:rFonts w:ascii="Arial Narrow" w:hAnsi="Arial Narrow"/>
        </w:rPr>
        <w:t xml:space="preserve"> Stoffe / Schwebstoffe werden vor der Einleitung aus einem Abschnitt jeweils entfernt. Ab einem gemessenem pH-Wert von 9,1 wird das Lenzwasser</w:t>
      </w:r>
      <w:r w:rsidRPr="00AF4EFB">
        <w:t xml:space="preserve"> </w:t>
      </w:r>
      <w:r w:rsidRPr="00AF4EFB">
        <w:rPr>
          <w:rFonts w:ascii="Arial Narrow" w:hAnsi="Arial Narrow"/>
        </w:rPr>
        <w:t>vor der Einleitung auf den durchschnittlichen Oder-pH-Wert von 8,</w:t>
      </w:r>
      <w:r>
        <w:rPr>
          <w:rFonts w:ascii="Arial Narrow" w:hAnsi="Arial Narrow"/>
        </w:rPr>
        <w:t xml:space="preserve">9 angeglichen (neutralisiert). </w:t>
      </w:r>
    </w:p>
    <w:p w14:paraId="76B36333" w14:textId="146D02DE" w:rsidR="000537E9" w:rsidRPr="005128F5" w:rsidRDefault="000537E9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/>
        </w:rPr>
      </w:pPr>
      <w:r w:rsidRPr="005128F5">
        <w:rPr>
          <w:rFonts w:ascii="Arial Narrow" w:hAnsi="Arial Narrow"/>
        </w:rPr>
        <w:t>Diese Feststellung ist nicht selbständig anfechtbar.</w:t>
      </w:r>
    </w:p>
    <w:p w14:paraId="5AF195F5" w14:textId="224DB4BF" w:rsidR="000537E9" w:rsidRDefault="000537E9" w:rsidP="000537E9">
      <w:pPr>
        <w:tabs>
          <w:tab w:val="left" w:pos="0"/>
          <w:tab w:val="left" w:pos="373"/>
          <w:tab w:val="left" w:pos="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Im Internet finden Sie diese Bekanntmachung</w:t>
      </w:r>
      <w:r w:rsidRPr="005128F5">
        <w:rPr>
          <w:rFonts w:ascii="Arial Narrow" w:hAnsi="Arial Narrow" w:cs="Arial"/>
          <w:color w:val="0000FF"/>
        </w:rPr>
        <w:t xml:space="preserve"> </w:t>
      </w:r>
      <w:r w:rsidRPr="005128F5">
        <w:rPr>
          <w:rFonts w:ascii="Arial Narrow" w:hAnsi="Arial Narrow" w:cs="Arial"/>
        </w:rPr>
        <w:t>auf</w:t>
      </w:r>
      <w:r w:rsidRPr="005128F5">
        <w:rPr>
          <w:rFonts w:ascii="Arial Narrow" w:hAnsi="Arial Narrow" w:cs="Arial"/>
          <w:color w:val="0000FF"/>
        </w:rPr>
        <w:t xml:space="preserve"> </w:t>
      </w:r>
      <w:r w:rsidRPr="005128F5">
        <w:rPr>
          <w:rFonts w:ascii="Arial Narrow" w:hAnsi="Arial Narrow" w:cs="Arial"/>
        </w:rPr>
        <w:t>folgender Seite:</w:t>
      </w:r>
      <w:r w:rsidR="009F120D" w:rsidRPr="005128F5">
        <w:rPr>
          <w:rFonts w:ascii="Arial Narrow" w:hAnsi="Arial Narrow" w:cs="Arial"/>
        </w:rPr>
        <w:t xml:space="preserve"> </w:t>
      </w:r>
      <w:hyperlink r:id="rId7" w:history="1">
        <w:r w:rsidR="008179C2" w:rsidRPr="000050D1">
          <w:rPr>
            <w:rStyle w:val="Hyperlink"/>
            <w:rFonts w:ascii="Arial Narrow" w:hAnsi="Arial Narrow" w:cs="Arial"/>
          </w:rPr>
          <w:t>www.uvp-verbund.de/portal/</w:t>
        </w:r>
      </w:hyperlink>
    </w:p>
    <w:p w14:paraId="0112D091" w14:textId="77777777" w:rsidR="000537E9" w:rsidRPr="005128F5" w:rsidRDefault="000537E9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after="120" w:line="240" w:lineRule="atLeast"/>
        <w:jc w:val="both"/>
        <w:rPr>
          <w:rFonts w:ascii="Arial Narrow" w:hAnsi="Arial Narrow" w:cs="Arial"/>
        </w:rPr>
      </w:pPr>
      <w:bookmarkStart w:id="0" w:name="_GoBack"/>
      <w:bookmarkEnd w:id="0"/>
    </w:p>
    <w:p w14:paraId="49D8081E" w14:textId="3335390B" w:rsidR="000537E9" w:rsidRPr="005128F5" w:rsidRDefault="000537E9" w:rsidP="000537E9">
      <w:pPr>
        <w:tabs>
          <w:tab w:val="left" w:pos="0"/>
          <w:tab w:val="left" w:pos="373"/>
          <w:tab w:val="left" w:pos="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Rechtsgrundlagen</w:t>
      </w:r>
    </w:p>
    <w:p w14:paraId="3C7C80B1" w14:textId="062C6985" w:rsidR="00A979A1" w:rsidRDefault="00A979A1" w:rsidP="00A979A1">
      <w:pPr>
        <w:tabs>
          <w:tab w:val="left" w:pos="0"/>
          <w:tab w:val="left" w:pos="373"/>
          <w:tab w:val="left" w:pos="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 Narrow" w:hAnsi="Arial Narrow" w:cs="Arial"/>
        </w:rPr>
      </w:pPr>
      <w:r w:rsidRPr="00A979A1">
        <w:rPr>
          <w:rFonts w:ascii="Arial Narrow" w:hAnsi="Arial Narrow" w:cs="Arial"/>
        </w:rPr>
        <w:t>Wasserhaushaltsgesetz vom 31. Juli 2009 (BGBl. I S. 2585), das zuletzt durch Artikel 7 des Gesetzes vom 22. Dezember 2023 (BGBl. 2023 I Nr. 409) geändert worden ist</w:t>
      </w:r>
    </w:p>
    <w:p w14:paraId="169619B3" w14:textId="38C7AC36" w:rsidR="00A979A1" w:rsidRPr="005128F5" w:rsidRDefault="00A979A1" w:rsidP="00A979A1">
      <w:pPr>
        <w:tabs>
          <w:tab w:val="left" w:pos="0"/>
          <w:tab w:val="left" w:pos="373"/>
          <w:tab w:val="left" w:pos="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 Narrow" w:hAnsi="Arial Narrow" w:cs="Arial"/>
        </w:rPr>
      </w:pPr>
      <w:r w:rsidRPr="00A979A1">
        <w:rPr>
          <w:rFonts w:ascii="Arial Narrow" w:hAnsi="Arial Narrow" w:cs="Arial"/>
        </w:rPr>
        <w:t>Gesetz über die Umweltverträglichkeitsprüfung in der Fassung der Bekanntmachung vom 18. März 2021 (BGBl. I S. 540), das zuletzt durch Artikel 10 des Gesetzes vom 22. Dezember 2023 (BGBl. 2023 I Nr. 409) geändert worden ist</w:t>
      </w:r>
    </w:p>
    <w:p w14:paraId="027EDE75" w14:textId="77777777" w:rsidR="000537E9" w:rsidRPr="005128F5" w:rsidRDefault="000537E9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Landesamt für Umwelt</w:t>
      </w:r>
    </w:p>
    <w:p w14:paraId="5828D025" w14:textId="77777777" w:rsidR="000537E9" w:rsidRPr="005128F5" w:rsidRDefault="000537E9" w:rsidP="000537E9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Abteilung W1 (Wasserwirtschaft 1)</w:t>
      </w:r>
    </w:p>
    <w:p w14:paraId="2D3A2699" w14:textId="5F1140E2" w:rsidR="009F120D" w:rsidRPr="00A979A1" w:rsidRDefault="000537E9" w:rsidP="00A979A1">
      <w:pPr>
        <w:tabs>
          <w:tab w:val="left" w:pos="-1142"/>
          <w:tab w:val="left" w:pos="-720"/>
          <w:tab w:val="left" w:pos="0"/>
          <w:tab w:val="left" w:pos="204"/>
          <w:tab w:val="left" w:pos="1440"/>
        </w:tabs>
        <w:spacing w:line="240" w:lineRule="atLeast"/>
        <w:jc w:val="center"/>
        <w:rPr>
          <w:rFonts w:ascii="Arial Narrow" w:hAnsi="Arial Narrow" w:cs="Arial"/>
        </w:rPr>
      </w:pPr>
      <w:r w:rsidRPr="005128F5">
        <w:rPr>
          <w:rFonts w:ascii="Arial Narrow" w:hAnsi="Arial Narrow" w:cs="Arial"/>
        </w:rPr>
        <w:t>Referat W11 (Obere Wasserbehörde)</w:t>
      </w:r>
    </w:p>
    <w:sectPr w:rsidR="009F120D" w:rsidRPr="00A9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3E049" w14:textId="77777777" w:rsidR="000537E9" w:rsidRDefault="000537E9" w:rsidP="000537E9">
      <w:r>
        <w:separator/>
      </w:r>
    </w:p>
  </w:endnote>
  <w:endnote w:type="continuationSeparator" w:id="0">
    <w:p w14:paraId="4D4FB100" w14:textId="77777777" w:rsidR="000537E9" w:rsidRDefault="000537E9" w:rsidP="0005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EDD9" w14:textId="77777777" w:rsidR="000537E9" w:rsidRDefault="000537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B91F" w14:textId="77777777" w:rsidR="000537E9" w:rsidRDefault="000537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AADB" w14:textId="77777777" w:rsidR="000537E9" w:rsidRDefault="000537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9F28" w14:textId="77777777" w:rsidR="000537E9" w:rsidRDefault="000537E9" w:rsidP="000537E9">
      <w:r>
        <w:separator/>
      </w:r>
    </w:p>
  </w:footnote>
  <w:footnote w:type="continuationSeparator" w:id="0">
    <w:p w14:paraId="4D4710CA" w14:textId="77777777" w:rsidR="000537E9" w:rsidRDefault="000537E9" w:rsidP="0005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2DD1" w14:textId="74DD33AC" w:rsidR="000537E9" w:rsidRDefault="000537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1569" w14:textId="6514490A" w:rsidR="000537E9" w:rsidRDefault="000537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7443" w14:textId="7A9302BE" w:rsidR="000537E9" w:rsidRDefault="000537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78CFB8EE"/>
  </w:docVars>
  <w:rsids>
    <w:rsidRoot w:val="001A71DA"/>
    <w:rsid w:val="000537E9"/>
    <w:rsid w:val="000929E0"/>
    <w:rsid w:val="001402B4"/>
    <w:rsid w:val="00143662"/>
    <w:rsid w:val="001612EE"/>
    <w:rsid w:val="001A71DA"/>
    <w:rsid w:val="001F2F42"/>
    <w:rsid w:val="001F3365"/>
    <w:rsid w:val="00222768"/>
    <w:rsid w:val="00262A34"/>
    <w:rsid w:val="00277090"/>
    <w:rsid w:val="002E69EC"/>
    <w:rsid w:val="00383B4E"/>
    <w:rsid w:val="003E29D4"/>
    <w:rsid w:val="00434C7E"/>
    <w:rsid w:val="005128F5"/>
    <w:rsid w:val="00523704"/>
    <w:rsid w:val="00537D89"/>
    <w:rsid w:val="005B397D"/>
    <w:rsid w:val="005C005B"/>
    <w:rsid w:val="005F3912"/>
    <w:rsid w:val="006607E5"/>
    <w:rsid w:val="006902CD"/>
    <w:rsid w:val="00693E7D"/>
    <w:rsid w:val="00717333"/>
    <w:rsid w:val="0074491B"/>
    <w:rsid w:val="00780E75"/>
    <w:rsid w:val="00785CD6"/>
    <w:rsid w:val="008179C2"/>
    <w:rsid w:val="00905503"/>
    <w:rsid w:val="00930DE1"/>
    <w:rsid w:val="009A4D87"/>
    <w:rsid w:val="009B282D"/>
    <w:rsid w:val="009F0D28"/>
    <w:rsid w:val="009F120D"/>
    <w:rsid w:val="00A24652"/>
    <w:rsid w:val="00A979A1"/>
    <w:rsid w:val="00AD214B"/>
    <w:rsid w:val="00AD690D"/>
    <w:rsid w:val="00AE4081"/>
    <w:rsid w:val="00AF4EFB"/>
    <w:rsid w:val="00AF669C"/>
    <w:rsid w:val="00B05C53"/>
    <w:rsid w:val="00B122A2"/>
    <w:rsid w:val="00B1765B"/>
    <w:rsid w:val="00BD35C4"/>
    <w:rsid w:val="00C25C34"/>
    <w:rsid w:val="00C42EEA"/>
    <w:rsid w:val="00C66FE8"/>
    <w:rsid w:val="00CA3449"/>
    <w:rsid w:val="00CC574D"/>
    <w:rsid w:val="00CD688D"/>
    <w:rsid w:val="00D73B35"/>
    <w:rsid w:val="00DD1BEF"/>
    <w:rsid w:val="00E03F9E"/>
    <w:rsid w:val="00E12897"/>
    <w:rsid w:val="00E32C9B"/>
    <w:rsid w:val="00EB7D7A"/>
    <w:rsid w:val="00ED1FA6"/>
    <w:rsid w:val="00ED3C6F"/>
    <w:rsid w:val="00F275E6"/>
    <w:rsid w:val="00F33910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47BB6D7"/>
  <w15:docId w15:val="{2F5EC89C-1D2A-49C5-8548-49AD58A5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53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37E9"/>
    <w:rPr>
      <w:sz w:val="24"/>
      <w:szCs w:val="24"/>
    </w:rPr>
  </w:style>
  <w:style w:type="paragraph" w:styleId="Fuzeile">
    <w:name w:val="footer"/>
    <w:basedOn w:val="Standard"/>
    <w:link w:val="FuzeileZchn"/>
    <w:rsid w:val="00053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37E9"/>
    <w:rPr>
      <w:sz w:val="24"/>
      <w:szCs w:val="24"/>
    </w:rPr>
  </w:style>
  <w:style w:type="paragraph" w:styleId="Textkrper2">
    <w:name w:val="Body Text 2"/>
    <w:basedOn w:val="Standard"/>
    <w:link w:val="Textkrper2Zchn"/>
    <w:rsid w:val="000537E9"/>
    <w:pPr>
      <w:jc w:val="both"/>
    </w:pPr>
    <w:rPr>
      <w:rFonts w:ascii="Arial" w:hAnsi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0537E9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0537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37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37E9"/>
  </w:style>
  <w:style w:type="paragraph" w:styleId="Sprechblasentext">
    <w:name w:val="Balloon Text"/>
    <w:basedOn w:val="Standard"/>
    <w:link w:val="SprechblasentextZchn"/>
    <w:rsid w:val="00053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37E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5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5C53"/>
    <w:rPr>
      <w:b/>
      <w:bCs/>
    </w:rPr>
  </w:style>
  <w:style w:type="character" w:customStyle="1" w:styleId="paragr">
    <w:name w:val="paragr"/>
    <w:basedOn w:val="Absatz-Standardschriftart"/>
    <w:rsid w:val="00CA3449"/>
  </w:style>
  <w:style w:type="character" w:customStyle="1" w:styleId="zit">
    <w:name w:val="zit"/>
    <w:basedOn w:val="Absatz-Standardschriftart"/>
    <w:rsid w:val="00CA3449"/>
  </w:style>
  <w:style w:type="character" w:styleId="Hyperlink">
    <w:name w:val="Hyperlink"/>
    <w:basedOn w:val="Absatz-Standardschriftart"/>
    <w:unhideWhenUsed/>
    <w:rsid w:val="0081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p-verbund.de/porta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4989-82E6-45B9-8CEC-417DC9C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</dc:creator>
  <cp:lastModifiedBy>Ramoth, Beatrix</cp:lastModifiedBy>
  <cp:revision>2</cp:revision>
  <cp:lastPrinted>2017-08-01T12:33:00Z</cp:lastPrinted>
  <dcterms:created xsi:type="dcterms:W3CDTF">2024-04-02T12:37:00Z</dcterms:created>
  <dcterms:modified xsi:type="dcterms:W3CDTF">2024-04-02T12:37:00Z</dcterms:modified>
</cp:coreProperties>
</file>